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BDD8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5DB2235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3975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关于印发淮南市供销合作社联合社成员</w:t>
      </w:r>
    </w:p>
    <w:p w14:paraId="2538391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单位入社退社管理办法的通知</w:t>
      </w:r>
    </w:p>
    <w:p w14:paraId="57D6325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44BA8723">
      <w:pPr>
        <w:keepNext w:val="0"/>
        <w:keepLines w:val="0"/>
        <w:pageBreakBefore w:val="0"/>
        <w:widowControl/>
        <w:kinsoku/>
        <w:wordWrap/>
        <w:overflowPunct/>
        <w:topLinePunct/>
        <w:bidi w:val="0"/>
        <w:spacing w:line="560" w:lineRule="exact"/>
        <w:ind w:left="0" w:leftChars="0" w:right="0" w:firstLine="0" w:firstLineChars="0"/>
        <w:jc w:val="center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淮供〔2025〕4号</w:t>
      </w:r>
    </w:p>
    <w:p w14:paraId="61A7EAA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157C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7521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2826AF8C">
      <w:pPr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各县区社、机关各科室、各基层单位：</w:t>
      </w:r>
    </w:p>
    <w:p w14:paraId="0EA6F640"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为进一步深化供销合作社综合改革，规范供销合作社开放办社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，促进全市供销合作事业高质量发展，市供销社制定了《淮南市供销合作社联合社成员单位入社退社管理办法》。现印发给你们，请认真贯彻落实。</w:t>
      </w:r>
    </w:p>
    <w:p w14:paraId="51271194"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 w14:paraId="0FE4EC15"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 w14:paraId="24C42890">
      <w:pPr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 w14:paraId="371EF119">
      <w:pPr>
        <w:ind w:firstLine="64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淮南市供销合作社联合社</w:t>
      </w:r>
    </w:p>
    <w:p w14:paraId="44023A62">
      <w:pPr>
        <w:ind w:firstLine="64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              2025年3月17日</w:t>
      </w:r>
    </w:p>
    <w:p w14:paraId="63920BA0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 w14:paraId="3682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 w14:paraId="048F2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淮南市供销合作社联合社成员单位</w:t>
      </w:r>
    </w:p>
    <w:p w14:paraId="68CB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入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社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退社管理办法</w:t>
      </w:r>
    </w:p>
    <w:p w14:paraId="4F27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 w14:paraId="592EB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为进一步深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化供销合作社综合改革，加强供销合作社行业指导体系建设，规范供销合作社开放办社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扩大供销队伍，提高服务水平，打造综合平台，促进全市供销合作事业高质量发展，更好地发挥合作经济组织为农服务作用，根据《淮南市供销合作社联合社章程》（以下简称《章程》）有关规定，结合实际，制定本办法。</w:t>
      </w:r>
    </w:p>
    <w:p w14:paraId="4FA7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第一章 总 则</w:t>
      </w:r>
    </w:p>
    <w:p w14:paraId="578C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淮南市供销合作社联合社（以下简称市社）是淮南市委、市政府领导下的全市供销合作社的联合组织，是农村合作经济的组织者、参与者和服务者。</w:t>
      </w:r>
    </w:p>
    <w:p w14:paraId="4529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市社实行开放办社，凡承认和遵守《章程》，接受市社指导管理、符合本办法规定条件的单位或组织，均可申请加入市社，成为市社成员单位。</w:t>
      </w:r>
    </w:p>
    <w:p w14:paraId="4610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成员单位资产归各成员单位所有，实行自主经营、自负盈亏，独立承担法律责任。市社为成员单位提供行业指导、政策服务、行业服务等工作。</w:t>
      </w:r>
    </w:p>
    <w:p w14:paraId="15BE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成员单位入社自愿、退社自由。</w:t>
      </w:r>
    </w:p>
    <w:p w14:paraId="33D3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第二章 成员单位条件</w:t>
      </w:r>
    </w:p>
    <w:p w14:paraId="1136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农业产业化企业。农业产业化企业包括：我市范围内从事农业种养殖业，农产品加工、销售、流通、研发的企业，农业生产资料加工、流通、研发的企业，农产品批发贸易市场等。</w:t>
      </w:r>
    </w:p>
    <w:p w14:paraId="5C18B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合作经济组织。为农服务合作经济组织包括：家庭农场、农民专业合作社、股份合作社、合作社联合社、农村综合服务社等。</w:t>
      </w:r>
    </w:p>
    <w:p w14:paraId="6F1B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涉农社团组织。为农服务的行业协会、专业技术协会、农村（农产品）经纪人协会、为农服务的流通类协会等，有规范的协会运作制度，积极为会员提供服务，发挥为农服务功能。</w:t>
      </w:r>
    </w:p>
    <w:p w14:paraId="1CD055F9">
      <w:pPr>
        <w:pStyle w:val="8"/>
        <w:bidi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其他符合供销合作社“三大体系”方向的法人单位等。</w:t>
      </w:r>
    </w:p>
    <w:p w14:paraId="74DD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已经成为市供销合作社成员单位的社会法人组织不再重新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履行入社程序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32E42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第三章 成员单位入社程序</w:t>
      </w:r>
    </w:p>
    <w:p w14:paraId="18DA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加入市社成员单位的程序：</w:t>
      </w:r>
    </w:p>
    <w:p w14:paraId="585C9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符合入社条件的单位或组织提出入社申请，填写《市供销合作社联合社成员单位入社申请表》，并提供相关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材料。市社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合作经济发展科会同相关业务科室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对申请入社的单位或组织进行考察评估，经市社理事会审议批准入社，下达批复文件，并在市社网站公告。</w:t>
      </w:r>
    </w:p>
    <w:p w14:paraId="08C55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第四章 成员单位权利义务</w:t>
      </w:r>
    </w:p>
    <w:p w14:paraId="1C15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成员单位享有以下权利：</w:t>
      </w:r>
    </w:p>
    <w:p w14:paraId="1A4AB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（一）组织推荐全市供销合作社代表大会代表，享有选举权和被选举权。</w:t>
      </w:r>
    </w:p>
    <w:p w14:paraId="5CE4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（二）参加市社组织召开的相关工作会议。</w:t>
      </w:r>
    </w:p>
    <w:p w14:paraId="6363A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（三）参加市社组织的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省内外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交流考察和其他活动。</w:t>
      </w:r>
    </w:p>
    <w:p w14:paraId="78311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（四）推荐评选国家级或省级、市级农业龙头企业。</w:t>
      </w:r>
    </w:p>
    <w:p w14:paraId="4E7A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（五）获取行业内有关文件、资料和信息。</w:t>
      </w:r>
    </w:p>
    <w:p w14:paraId="1CA0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（六）享受市社提供的服务及有关扶持政策，可通过市社申报国家或省级、市级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项目，优先参与市社的项目开发。</w:t>
      </w:r>
    </w:p>
    <w:p w14:paraId="75525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（七）对市社工作进行评价，提出意见建议。</w:t>
      </w:r>
    </w:p>
    <w:p w14:paraId="552A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（八）依法依规使用“中国供销合作社”标识。</w:t>
      </w:r>
    </w:p>
    <w:p w14:paraId="0511D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（九）依照法律和《章程》享有其他权利。</w:t>
      </w:r>
    </w:p>
    <w:p w14:paraId="0067E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成员单位履行以下义务：</w:t>
      </w:r>
    </w:p>
    <w:p w14:paraId="3D73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（一）遵守市社《章程》，执行市社决议。</w:t>
      </w:r>
    </w:p>
    <w:p w14:paraId="788FC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（二）维护市社及成员单位的名誉和整体利益。</w:t>
      </w:r>
    </w:p>
    <w:p w14:paraId="3C61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（三）向市社报告工作，按时准确报送有关报表。</w:t>
      </w:r>
    </w:p>
    <w:p w14:paraId="7C14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（四）根据需要，经协商建立与社有企业的股权关系。</w:t>
      </w:r>
    </w:p>
    <w:p w14:paraId="1C2C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（五）接受市社的业务指导、综合协调和监督检查。</w:t>
      </w:r>
    </w:p>
    <w:p w14:paraId="3A93C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（六）依照《章程》和市社工作要求，履行其他义务。</w:t>
      </w:r>
    </w:p>
    <w:p w14:paraId="03A9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（七）不得以供销合作社名义开展任何贷款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和资金互助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业务。</w:t>
      </w:r>
    </w:p>
    <w:p w14:paraId="1FA4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第五章 相互关系、责任与调处</w:t>
      </w:r>
    </w:p>
    <w:p w14:paraId="1B0D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市社与成员单位之间是一种新型的合作经济组织关系，双方均为独立民事主体，两者是组织管理者与经营从业者的合作关系。</w:t>
      </w:r>
    </w:p>
    <w:p w14:paraId="5F2F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市社是具有法人地位的合作经济组织，其合法权益受国家法律保护。在对成员单位实行宏观管理和服务中，严格遵守《中华人民共和国公司法》《章程》及相关行业规章，不干涉成员单位的各项具体事务，不插手成员单位经营业务，不侵占挪用成员单位资产，不为成员单位资金借贷担保，不承担成员单位经营从业中发生的任何法律责任，维护成员单位的一切合法权益。</w:t>
      </w:r>
    </w:p>
    <w:p w14:paraId="561F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各成员单位均为独立法人或独立民事主体。企业成员单位实行自主经营、独立核算、自负盈亏，同时应守法经营、照章纳税，自觉接受法律及相关行业规章的管理监督；其他成员单位按照各自章程规则独立运作，独立承担法律责任。</w:t>
      </w:r>
    </w:p>
    <w:p w14:paraId="25AC9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第十六条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由市社控股或参股的企业，依照《中华人民共和国公司法》和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相关规定、协议开展监督管理和相关服务。</w:t>
      </w:r>
    </w:p>
    <w:p w14:paraId="3A8E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市社与成员单位发生纠纷时，双方协商解决，协商不成时任何一方均可依法申请仲裁，或者通过诉讼程序解决。</w:t>
      </w:r>
    </w:p>
    <w:p w14:paraId="3832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第六章 成员单位退社</w:t>
      </w:r>
    </w:p>
    <w:p w14:paraId="5CD8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成员单位有下列情形之一，市社可劝其退社或除名，并向社会公告，自公告之日起其成员单位资格终止。</w:t>
      </w:r>
    </w:p>
    <w:p w14:paraId="247C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（一）丧失法人资格的；</w:t>
      </w:r>
    </w:p>
    <w:p w14:paraId="2083C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（二）自动放弃成员单位资格的；</w:t>
      </w:r>
    </w:p>
    <w:p w14:paraId="7F101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（三）严重违反《章程》及本办法规定；</w:t>
      </w:r>
    </w:p>
    <w:p w14:paraId="21AB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（四）违反国家法律法规，损害供销合作社形象，不履行成员单位义务，情节严重的；</w:t>
      </w:r>
    </w:p>
    <w:p w14:paraId="45A6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（五）故意侵害市社或其他成员单位的合法权益，情节严重的；</w:t>
      </w:r>
    </w:p>
    <w:p w14:paraId="00DBF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成员单位被劝退或开除的，由市社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废止成员单位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批准文件，并通过市社网站公告。</w:t>
      </w:r>
    </w:p>
    <w:p w14:paraId="2426B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成员单位自愿退社应书面向市社申请，由市社理事会研究决定后，下达批复文件，并在市社网站公告。从文件下达之日起其成员单位资格终止。</w:t>
      </w:r>
    </w:p>
    <w:p w14:paraId="1F88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第七章 附 则</w:t>
      </w:r>
    </w:p>
    <w:p w14:paraId="5625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第二十一条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各县区供销合作社可以参照本办法，制定本级《成员单位入社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退社管理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办法》。</w:t>
      </w:r>
    </w:p>
    <w:p w14:paraId="6218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第二十二条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本办法于发布之日起生效。</w:t>
      </w:r>
    </w:p>
    <w:p w14:paraId="1019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第二十三条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 xml:space="preserve"> 本办法由市社合作经济发展科负责解释。</w:t>
      </w:r>
    </w:p>
    <w:p w14:paraId="0B9C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 w14:paraId="7039524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25E1E3F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096623F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2E076B2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24C5092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3A1AB30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343535</wp:posOffset>
                </wp:positionV>
                <wp:extent cx="5615940" cy="15240"/>
                <wp:effectExtent l="0" t="6350" r="3810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27.05pt;height:1.2pt;width:442.2pt;z-index:251660288;mso-width-relative:page;mso-height-relative:page;" filled="f" stroked="t" coordsize="21600,21600" o:gfxdata="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cTVI1gAAAAkBAAAPAAAAAAAAAAEAIAAAACIAAABkcnMvZG93bnJldi54&#10;bWxQSwECFAAUAAAACACHTuJAJo/OtfwBAAD5AwAADgAAAAAAAAABACAAAAAlAQAAZHJzL2Uyb0Rv&#10;Yy54bWxQSwUGAAAAAAYABgBZAQAAkwUAAAAA&#10;">
                <v:fill on="f" focussize="0,0"/>
                <v:stroke weight="1.04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B0B0EB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  <w:lang w:val="en-US"/>
        </w:rPr>
        <w:sectPr>
          <w:headerReference r:id="rId3" w:type="default"/>
          <w:footerReference r:id="rId4" w:type="default"/>
          <w:pgSz w:w="11906" w:h="16838"/>
          <w:pgMar w:top="1236" w:right="1723" w:bottom="1236" w:left="1723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422910</wp:posOffset>
                </wp:positionV>
                <wp:extent cx="5615940" cy="15240"/>
                <wp:effectExtent l="0" t="6350" r="3810" b="698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5pt;margin-top:33.3pt;height:1.2pt;width:442.2pt;z-index:251659264;mso-width-relative:page;mso-height-relative:page;" filled="f" stroked="t" coordsize="21600,21600" o:gfxdata="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yjfAdYAAAAJAQAADwAAAAAAAAABACAAAAAiAAAAZHJzL2Rvd25yZXYu&#10;eG1sUEsBAhQAFAAAAAgAh07iQCZtsLD9AQAA+QMAAA4AAAAAAAAAAQAgAAAAJQEAAGRycy9lMm9E&#10;b2MueG1sUEsFBgAAAAAGAAYAWQEAAJQFAAAAAA==&#10;">
                <v:fill on="f" focussize="0,0"/>
                <v:stroke weight="1.0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28"/>
          <w:szCs w:val="28"/>
          <w:lang w:val="en-US" w:eastAsia="zh-CN" w:bidi="ar-SA"/>
        </w:rPr>
        <w:t>淮南市供销合作社联合社办公室                 2025年3月17日</w:t>
      </w:r>
    </w:p>
    <w:p w14:paraId="1BAD0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C347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225" w:afterAutospacing="0"/>
        <w:ind w:left="0" w:right="0" w:firstLine="0"/>
        <w:jc w:val="left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 w14:paraId="17C34C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225" w:afterAutospacing="0"/>
        <w:ind w:left="0" w:right="0" w:firstLine="0"/>
        <w:jc w:val="center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市供销合作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社联合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成员单位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入社申请表</w:t>
      </w:r>
    </w:p>
    <w:tbl>
      <w:tblPr>
        <w:tblStyle w:val="5"/>
        <w:tblW w:w="90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65"/>
        <w:gridCol w:w="12"/>
        <w:gridCol w:w="1157"/>
        <w:gridCol w:w="1574"/>
        <w:gridCol w:w="1049"/>
        <w:gridCol w:w="2099"/>
        <w:gridCol w:w="1475"/>
      </w:tblGrid>
      <w:tr w14:paraId="14B7C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8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CF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19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93A7D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C9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EEB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工商（民政）登记号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71571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E67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4C0A8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C0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2BF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320E5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169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08880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D3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816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AF45D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737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508A3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A5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2D8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955DC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D6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031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近两年</w:t>
            </w: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营收</w:t>
            </w: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F16A0">
            <w:pPr>
              <w:jc w:val="both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      万元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CBFF9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      万元</w:t>
            </w:r>
          </w:p>
        </w:tc>
      </w:tr>
      <w:tr w14:paraId="3577E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C92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近三年平均利润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14A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A5E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上一年度</w:t>
            </w:r>
          </w:p>
          <w:p w14:paraId="279E62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上缴</w:t>
            </w: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</w:t>
            </w: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0B7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3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FE3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29127F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农户数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499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183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服务成员数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D5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F20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09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03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EF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D833D">
            <w:pPr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2C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4" w:hRule="atLeast"/>
        </w:trPr>
        <w:tc>
          <w:tcPr>
            <w:tcW w:w="1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6AC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35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D1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6C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221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263C0E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F4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6057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 w14:paraId="0F82B1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168" w:firstLineChars="90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014C97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2" w:firstLineChars="20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（合作经济发展科及共同考察评估的科室负责人签字）</w:t>
            </w:r>
          </w:p>
        </w:tc>
      </w:tr>
      <w:tr w14:paraId="0C290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650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市社理事会批准意见</w:t>
            </w:r>
          </w:p>
        </w:tc>
        <w:tc>
          <w:tcPr>
            <w:tcW w:w="736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8EA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CD85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4EC4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字：</w:t>
            </w:r>
          </w:p>
          <w:p w14:paraId="1F64C4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168" w:firstLineChars="900"/>
              <w:jc w:val="center"/>
              <w:textAlignment w:val="auto"/>
              <w:rPr>
                <w:rFonts w:hint="default" w:ascii="Times New Roman" w:hAnsi="Times New Roman" w:eastAsia="方正楷体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55D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楷体_GB2312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9AB13-CB21-4BAD-9E8B-414ADFCADD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7C9A42-5207-49C5-85E8-1CF6409BB9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3FA7AE-8639-4AD5-91E5-6CE28EEA9FF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6E1AA3-94E2-4CFE-8B98-2E942A8D096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32024E7-4597-438E-AF70-9EE213FFE4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DE45EEA-19C1-4222-A1F6-BE3EC6AF9E8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CDF008C-DC93-45DA-A29D-B876AACBE5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16DFA78-1D4E-40F5-81AB-E16445AE68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2C71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5276850</wp:posOffset>
              </wp:positionH>
              <wp:positionV relativeFrom="paragraph">
                <wp:posOffset>0</wp:posOffset>
              </wp:positionV>
              <wp:extent cx="1828800" cy="2565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D789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5pt;margin-top:0pt;height:20.2pt;width:144pt;mso-position-horizontal-relative:margin;mso-wrap-style:none;z-index:251662336;mso-width-relative:page;mso-height-relative:page;" filled="f" stroked="f" coordsize="21600,21600" o:gfxdata="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xXF0tgAAAAIAQAADwAAAAAAAAABACAAAAAiAAAAZHJzL2Rv&#10;d25yZXYueG1sUEsBAhQAFAAAAAgAh07iQAhRn6E6AgAAbgQAAA4AAAAAAAAAAQAgAAAAJ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AD789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  <w:t xml:space="preserve">  </w:t>
    </w:r>
  </w:p>
  <w:p w14:paraId="0E339E9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wordWrap/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48"/>
        <w:lang w:val="en-US" w:eastAsia="zh-CN" w:bidi="ar-SA"/>
      </w:rPr>
      <w:t xml:space="preserve">淮淮南市供销社办公室发布 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</w:t>
    </w:r>
  </w:p>
  <w:p w14:paraId="06D7938A">
    <w:pPr>
      <w:widowControl w:val="0"/>
      <w:kinsoku/>
      <w:autoSpaceDE/>
      <w:autoSpaceDN/>
      <w:adjustRightInd/>
      <w:snapToGrid w:val="0"/>
      <w:spacing w:line="240" w:lineRule="auto"/>
      <w:jc w:val="left"/>
      <w:textAlignment w:val="auto"/>
      <w:rPr>
        <w:rFonts w:ascii="Calibri" w:hAnsi="Calibri" w:eastAsia="宋体" w:cs="Times New Roman"/>
        <w:snapToGrid/>
        <w:color w:val="000000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EF1E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142875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.75pt;margin-top:11.25pt;height:0.15pt;width:442.25pt;z-index:251663360;mso-width-relative:page;mso-height-relative:page;" filled="f" stroked="t" coordsize="21600,21600" o:gfxdata="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WqQhfWAAAACQEAAA8AAAAAAAAAAQAgAAAAIgAAAGRycy9kb3ducmV2LnhtbFBLAQIUABQAAAAI&#10;AIdO4kAkPtVz7wEAAMMDAAAOAAAAAAAAAAEAIAAAACU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宋体" w:cs="Times New Roman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5127625</wp:posOffset>
              </wp:positionH>
              <wp:positionV relativeFrom="paragraph">
                <wp:posOffset>-179070</wp:posOffset>
              </wp:positionV>
              <wp:extent cx="1828800" cy="2565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9EBB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75pt;margin-top:-14.1pt;height:20.2pt;width:144pt;mso-position-horizontal-relative:margin;mso-wrap-style:none;z-index:251664384;mso-width-relative:page;mso-height-relative:page;" filled="f" stroked="f" coordsize="21600,21600" o:gfxdata="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2kGOfZAAAACwEAAA8AAAAAAAAAAQAgAAAAIgAAAGRycy9k&#10;b3ducmV2LnhtbFBLAQIUABQAAAAIAIdO4kADF7Y6OgIAAG4EAAAOAAAAAAAAAAEAIAAAACg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89EBB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  <w:t xml:space="preserve">  </w:t>
    </w:r>
  </w:p>
  <w:p w14:paraId="65D6065F">
    <w:pPr>
      <w:pStyle w:val="2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48"/>
        <w:lang w:val="en-US" w:eastAsia="zh-CN" w:bidi="ar-SA"/>
      </w:rPr>
      <w:t xml:space="preserve">淮南市供销社办公室发布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7BEA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93B38B1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淮南市供销合作社联合社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规范性文件</w:t>
    </w:r>
  </w:p>
  <w:p w14:paraId="5E331C5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922A3"/>
    <w:rsid w:val="005F1DBC"/>
    <w:rsid w:val="01FD6E50"/>
    <w:rsid w:val="026779BA"/>
    <w:rsid w:val="093A3733"/>
    <w:rsid w:val="0C122745"/>
    <w:rsid w:val="0C3E33A6"/>
    <w:rsid w:val="0FE91A0F"/>
    <w:rsid w:val="0FF7237E"/>
    <w:rsid w:val="140212F1"/>
    <w:rsid w:val="1B610FF3"/>
    <w:rsid w:val="1CB62BDF"/>
    <w:rsid w:val="1EF36406"/>
    <w:rsid w:val="1F09396B"/>
    <w:rsid w:val="1F9922A3"/>
    <w:rsid w:val="2A725415"/>
    <w:rsid w:val="33865643"/>
    <w:rsid w:val="33B421B0"/>
    <w:rsid w:val="381663E7"/>
    <w:rsid w:val="414601C0"/>
    <w:rsid w:val="44437E2E"/>
    <w:rsid w:val="4C1147EA"/>
    <w:rsid w:val="4E5E0593"/>
    <w:rsid w:val="514C1F87"/>
    <w:rsid w:val="58235C68"/>
    <w:rsid w:val="589D0BB5"/>
    <w:rsid w:val="69542012"/>
    <w:rsid w:val="69735746"/>
    <w:rsid w:val="6D7F7D4C"/>
    <w:rsid w:val="6EBA6FDF"/>
    <w:rsid w:val="6FDE6524"/>
    <w:rsid w:val="70EE0B70"/>
    <w:rsid w:val="76165DD7"/>
    <w:rsid w:val="7ABB6F4D"/>
    <w:rsid w:val="7C2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公文仿宋GB2312"/>
    <w:basedOn w:val="1"/>
    <w:qFormat/>
    <w:uiPriority w:val="0"/>
    <w:pPr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2428</Words>
  <Characters>2439</Characters>
  <Lines>0</Lines>
  <Paragraphs>0</Paragraphs>
  <TotalTime>1</TotalTime>
  <ScaleCrop>false</ScaleCrop>
  <LinksUpToDate>false</LinksUpToDate>
  <CharactersWithSpaces>2555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2025-03-14T02:25:00Z</dcterms:created>
  <dc:creator>淮南市供销社</dc:creator>
  <cp:lastModifiedBy>市供销社</cp:lastModifiedBy>
  <cp:lastPrinted>2025-03-17T07:46:00Z</cp:lastPrinted>
  <dcterms:modified xsi:type="dcterms:W3CDTF">2025-06-18T01:07:09Z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7CDCE73941BE4B12A307AFDCB59CF0CD_11</vt:lpwstr>
  </property>
  <property fmtid="{D5CDD505-2E9C-101B-9397-08002B2CF9AE}" pid="4" name="KSOTemplateDocerSaveRecord">
    <vt:lpwstr>eyJoZGlkIjoiYWQxNjVhMGU4NmU5YzlmNmNkYzEzM2NjZTAxMzdjNzciLCJ1c2VySWQiOiIyNzUzMzM3NjQifQ==</vt:lpwstr>
  </property>
</Properties>
</file>