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eastAsia="zh-CN"/>
        </w:rPr>
        <w:t>市供销社</w:t>
      </w:r>
      <w:r>
        <w:rPr>
          <w:rFonts w:hint="eastAsia" w:ascii="方正小标宋_GBK" w:hAnsi="方正小标宋_GBK" w:eastAsia="方正小标宋_GBK" w:cs="方正小标宋_GBK"/>
          <w:bCs/>
          <w:kern w:val="0"/>
          <w:sz w:val="44"/>
          <w:szCs w:val="44"/>
          <w:lang w:val="en-US" w:eastAsia="zh-CN"/>
        </w:rPr>
        <w:t>2021年政府</w:t>
      </w:r>
      <w:r>
        <w:rPr>
          <w:rFonts w:hint="eastAsia" w:ascii="方正小标宋_GBK" w:hAnsi="方正小标宋_GBK" w:eastAsia="方正小标宋_GBK" w:cs="方正小标宋_GBK"/>
          <w:bCs/>
          <w:kern w:val="0"/>
          <w:sz w:val="44"/>
          <w:szCs w:val="44"/>
        </w:rPr>
        <w:t>信息公开工作</w:t>
      </w:r>
    </w:p>
    <w:p>
      <w:pPr>
        <w:widowControl/>
        <w:spacing w:line="578" w:lineRule="exact"/>
        <w:jc w:val="center"/>
        <w:rPr>
          <w:rFonts w:ascii="方正小标宋简体" w:eastAsia="方正小标宋简体" w:cs="宋体"/>
          <w:kern w:val="0"/>
          <w:sz w:val="44"/>
          <w:szCs w:val="44"/>
        </w:rPr>
      </w:pPr>
      <w:r>
        <w:rPr>
          <w:rFonts w:hint="eastAsia" w:ascii="方正小标宋_GBK" w:hAnsi="方正小标宋_GBK" w:eastAsia="方正小标宋_GBK" w:cs="方正小标宋_GBK"/>
          <w:bCs/>
          <w:kern w:val="0"/>
          <w:sz w:val="44"/>
          <w:szCs w:val="44"/>
        </w:rPr>
        <w:t>年度报告</w:t>
      </w:r>
    </w:p>
    <w:p>
      <w:pPr>
        <w:widowControl/>
        <w:spacing w:line="578" w:lineRule="exact"/>
        <w:ind w:firstLine="480"/>
        <w:jc w:val="both"/>
        <w:rPr>
          <w:rFonts w:ascii="宋体" w:cs="宋体"/>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 w:hAnsi="仿宋" w:eastAsia="仿宋" w:cs="仿宋"/>
          <w:color w:val="auto"/>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2021年度政府信息公开工作年度报告编制和发布工作的通知》（皖政务办秘〔2021〕37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2021年1月1日至12月31日。报告的电子版可在</w:t>
      </w:r>
      <w:r>
        <w:rPr>
          <w:rFonts w:hint="eastAsia" w:ascii="仿宋" w:hAnsi="仿宋" w:eastAsia="仿宋" w:cs="仿宋"/>
          <w:color w:val="auto"/>
          <w:sz w:val="32"/>
          <w:szCs w:val="32"/>
          <w:lang w:eastAsia="zh-CN"/>
        </w:rPr>
        <w:t>淮南</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供销社</w:t>
      </w:r>
      <w:r>
        <w:rPr>
          <w:rFonts w:hint="eastAsia" w:ascii="仿宋" w:hAnsi="仿宋" w:eastAsia="仿宋" w:cs="仿宋"/>
          <w:color w:val="auto"/>
          <w:sz w:val="32"/>
          <w:szCs w:val="32"/>
        </w:rPr>
        <w:t>网站“</w:t>
      </w:r>
      <w:r>
        <w:rPr>
          <w:rFonts w:hint="eastAsia" w:ascii="仿宋" w:hAnsi="仿宋" w:eastAsia="仿宋" w:cs="仿宋"/>
          <w:color w:val="auto"/>
          <w:sz w:val="32"/>
          <w:szCs w:val="32"/>
          <w:lang w:eastAsia="zh-CN"/>
        </w:rPr>
        <w:t>淮南市供销合作社联合社</w:t>
      </w:r>
      <w:r>
        <w:rPr>
          <w:rFonts w:hint="eastAsia" w:ascii="仿宋" w:hAnsi="仿宋" w:eastAsia="仿宋" w:cs="仿宋"/>
          <w:color w:val="auto"/>
          <w:sz w:val="32"/>
          <w:szCs w:val="32"/>
        </w:rPr>
        <w:t>”下载。如对本报告有任何疑问，请与</w:t>
      </w:r>
      <w:r>
        <w:rPr>
          <w:rFonts w:hint="eastAsia" w:ascii="仿宋" w:hAnsi="仿宋" w:eastAsia="仿宋" w:cs="仿宋"/>
          <w:color w:val="auto"/>
          <w:sz w:val="32"/>
          <w:szCs w:val="32"/>
          <w:lang w:eastAsia="zh-CN"/>
        </w:rPr>
        <w:t>淮南市供销社</w:t>
      </w:r>
      <w:r>
        <w:rPr>
          <w:rFonts w:hint="eastAsia" w:ascii="仿宋" w:hAnsi="仿宋" w:eastAsia="仿宋" w:cs="仿宋"/>
          <w:color w:val="auto"/>
          <w:sz w:val="32"/>
          <w:szCs w:val="32"/>
        </w:rPr>
        <w:t>办公室联系（地址：</w:t>
      </w:r>
      <w:r>
        <w:rPr>
          <w:rFonts w:hint="eastAsia" w:ascii="仿宋" w:hAnsi="仿宋" w:eastAsia="仿宋" w:cs="仿宋"/>
          <w:color w:val="auto"/>
          <w:sz w:val="32"/>
          <w:szCs w:val="32"/>
          <w:lang w:eastAsia="zh-CN"/>
        </w:rPr>
        <w:t>淮南市田家庵区洞山中路</w:t>
      </w:r>
      <w:r>
        <w:rPr>
          <w:rFonts w:hint="eastAsia" w:ascii="仿宋" w:hAnsi="仿宋" w:eastAsia="仿宋" w:cs="仿宋"/>
          <w:color w:val="auto"/>
          <w:sz w:val="32"/>
          <w:szCs w:val="32"/>
          <w:lang w:val="en-US" w:eastAsia="zh-CN"/>
        </w:rPr>
        <w:t>22号中建大厦6楼</w:t>
      </w:r>
      <w:r>
        <w:rPr>
          <w:rFonts w:hint="eastAsia" w:ascii="仿宋" w:hAnsi="仿宋" w:eastAsia="仿宋" w:cs="仿宋"/>
          <w:color w:val="auto"/>
          <w:sz w:val="32"/>
          <w:szCs w:val="32"/>
        </w:rPr>
        <w:t>，电话：055</w:t>
      </w:r>
      <w:r>
        <w:rPr>
          <w:rFonts w:hint="eastAsia" w:ascii="仿宋" w:hAnsi="仿宋" w:eastAsia="仿宋" w:cs="仿宋"/>
          <w:color w:val="auto"/>
          <w:sz w:val="32"/>
          <w:szCs w:val="32"/>
          <w:lang w:val="en-US" w:eastAsia="zh-CN"/>
        </w:rPr>
        <w:t>4-3649846</w:t>
      </w:r>
      <w:r>
        <w:rPr>
          <w:rFonts w:hint="eastAsia" w:ascii="仿宋" w:hAnsi="仿宋" w:eastAsia="仿宋" w:cs="仿宋"/>
          <w:color w:val="auto"/>
          <w:sz w:val="32"/>
          <w:szCs w:val="32"/>
        </w:rPr>
        <w:t>，邮编：</w:t>
      </w:r>
      <w:r>
        <w:rPr>
          <w:rFonts w:hint="eastAsia" w:ascii="仿宋" w:hAnsi="仿宋" w:eastAsia="仿宋" w:cs="仿宋"/>
          <w:color w:val="auto"/>
          <w:sz w:val="32"/>
          <w:szCs w:val="32"/>
          <w:lang w:val="en-US" w:eastAsia="zh-CN"/>
        </w:rPr>
        <w:t>232001</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bCs/>
          <w:color w:val="auto"/>
          <w:kern w:val="0"/>
          <w:sz w:val="32"/>
          <w:szCs w:val="32"/>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年，市供销社</w:t>
      </w:r>
      <w:r>
        <w:rPr>
          <w:rFonts w:hint="eastAsia" w:ascii="仿宋" w:hAnsi="仿宋" w:eastAsia="仿宋" w:cs="仿宋"/>
          <w:color w:val="auto"/>
          <w:sz w:val="32"/>
          <w:szCs w:val="32"/>
          <w:lang w:eastAsia="zh-CN"/>
        </w:rPr>
        <w:t>坚持以习近平新时代中国特色社会主义思想为指导，深入</w:t>
      </w:r>
      <w:r>
        <w:rPr>
          <w:rFonts w:hint="eastAsia" w:ascii="仿宋" w:hAnsi="仿宋" w:eastAsia="仿宋" w:cs="仿宋"/>
          <w:color w:val="auto"/>
          <w:sz w:val="32"/>
          <w:szCs w:val="32"/>
        </w:rPr>
        <w:t>学习贯彻党的十九届</w:t>
      </w:r>
      <w:r>
        <w:rPr>
          <w:rFonts w:hint="eastAsia" w:ascii="仿宋" w:hAnsi="仿宋" w:eastAsia="仿宋" w:cs="仿宋"/>
          <w:color w:val="auto"/>
          <w:sz w:val="32"/>
          <w:szCs w:val="32"/>
          <w:lang w:eastAsia="zh-CN"/>
        </w:rPr>
        <w:t>六中</w:t>
      </w:r>
      <w:r>
        <w:rPr>
          <w:rFonts w:hint="eastAsia" w:ascii="仿宋" w:hAnsi="仿宋" w:eastAsia="仿宋" w:cs="仿宋"/>
          <w:color w:val="auto"/>
          <w:sz w:val="32"/>
          <w:szCs w:val="32"/>
        </w:rPr>
        <w:t>全会</w:t>
      </w:r>
      <w:r>
        <w:rPr>
          <w:rFonts w:hint="eastAsia" w:ascii="仿宋" w:hAnsi="仿宋" w:eastAsia="仿宋" w:cs="仿宋"/>
          <w:color w:val="auto"/>
          <w:sz w:val="32"/>
          <w:szCs w:val="32"/>
          <w:lang w:eastAsia="zh-CN"/>
        </w:rPr>
        <w:t>，认真贯彻落实市委、市政府关于全面推进政务信息公开工作的系列部署及《淮南市人民政府办公室202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年政务公开重点工作任务分工》，不断完善政务公开内容，提高政务公开服务水平，推进政务公开规范优质发展。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b/>
          <w:bCs/>
          <w:color w:val="auto"/>
          <w:sz w:val="32"/>
          <w:szCs w:val="32"/>
          <w:lang w:eastAsia="zh-CN"/>
        </w:rPr>
      </w:pPr>
      <w:r>
        <w:rPr>
          <w:rFonts w:hint="eastAsia" w:ascii="楷体" w:hAnsi="楷体" w:eastAsia="楷体" w:cs="楷体"/>
          <w:b w:val="0"/>
          <w:bCs w:val="0"/>
          <w:color w:val="auto"/>
          <w:sz w:val="32"/>
          <w:szCs w:val="32"/>
          <w:lang w:eastAsia="zh-CN"/>
        </w:rPr>
        <w:t>一、主动公开情况。</w:t>
      </w:r>
      <w:r>
        <w:rPr>
          <w:rFonts w:hint="eastAsia" w:ascii="仿宋" w:hAnsi="仿宋" w:eastAsia="仿宋" w:cs="仿宋"/>
          <w:b w:val="0"/>
          <w:bCs w:val="0"/>
          <w:color w:val="auto"/>
          <w:sz w:val="32"/>
          <w:szCs w:val="32"/>
          <w:lang w:val="en-US" w:eastAsia="zh-CN"/>
        </w:rPr>
        <w:t>2021</w:t>
      </w:r>
      <w:r>
        <w:rPr>
          <w:rFonts w:hint="eastAsia" w:ascii="仿宋" w:hAnsi="仿宋" w:eastAsia="仿宋" w:cs="仿宋"/>
          <w:b w:val="0"/>
          <w:bCs w:val="0"/>
          <w:i w:val="0"/>
          <w:caps w:val="0"/>
          <w:color w:val="auto"/>
          <w:spacing w:val="0"/>
          <w:sz w:val="32"/>
          <w:szCs w:val="32"/>
          <w:shd w:val="clear" w:fill="FFFFFF"/>
        </w:rPr>
        <w:t>年以</w:t>
      </w:r>
      <w:r>
        <w:rPr>
          <w:rFonts w:hint="eastAsia" w:ascii="仿宋" w:hAnsi="仿宋" w:eastAsia="仿宋" w:cs="仿宋"/>
          <w:i w:val="0"/>
          <w:caps w:val="0"/>
          <w:color w:val="auto"/>
          <w:spacing w:val="0"/>
          <w:sz w:val="32"/>
          <w:szCs w:val="32"/>
          <w:shd w:val="clear" w:fill="FFFFFF"/>
        </w:rPr>
        <w:t>来，市</w:t>
      </w:r>
      <w:r>
        <w:rPr>
          <w:rFonts w:hint="eastAsia" w:ascii="仿宋" w:hAnsi="仿宋" w:eastAsia="仿宋" w:cs="仿宋"/>
          <w:i w:val="0"/>
          <w:caps w:val="0"/>
          <w:color w:val="auto"/>
          <w:spacing w:val="0"/>
          <w:sz w:val="32"/>
          <w:szCs w:val="32"/>
          <w:shd w:val="clear" w:fill="FFFFFF"/>
          <w:lang w:eastAsia="zh-CN"/>
        </w:rPr>
        <w:t>供销社门户网站</w:t>
      </w:r>
      <w:r>
        <w:rPr>
          <w:rFonts w:hint="eastAsia" w:ascii="仿宋" w:hAnsi="仿宋" w:eastAsia="仿宋" w:cs="仿宋"/>
          <w:i w:val="0"/>
          <w:caps w:val="0"/>
          <w:color w:val="auto"/>
          <w:spacing w:val="0"/>
          <w:sz w:val="32"/>
          <w:szCs w:val="32"/>
          <w:shd w:val="clear" w:fill="FFFFFF"/>
        </w:rPr>
        <w:t>政府信息公开栏主动公开信息142条，涵盖决策公开、执行和结果公开、管理和服务公开、重点领域信息公开、政策解读、回应关切、监督保障等模块，基本做到各栏目全覆盖。</w:t>
      </w:r>
      <w:r>
        <w:rPr>
          <w:rFonts w:hint="eastAsia" w:ascii="仿宋" w:hAnsi="仿宋" w:eastAsia="仿宋" w:cs="仿宋"/>
          <w:b w:val="0"/>
          <w:bCs w:val="0"/>
          <w:color w:val="auto"/>
          <w:sz w:val="32"/>
          <w:szCs w:val="32"/>
          <w:lang w:eastAsia="zh-CN"/>
        </w:rPr>
        <w:t>一是</w:t>
      </w:r>
      <w:r>
        <w:rPr>
          <w:rFonts w:hint="eastAsia" w:ascii="仿宋" w:hAnsi="仿宋" w:eastAsia="仿宋" w:cs="仿宋"/>
          <w:b w:val="0"/>
          <w:bCs w:val="0"/>
          <w:color w:val="auto"/>
          <w:sz w:val="32"/>
          <w:szCs w:val="32"/>
          <w:lang w:val="en-US" w:eastAsia="zh-CN"/>
        </w:rPr>
        <w:t>聚焦重点领域深化政务公开。</w:t>
      </w:r>
      <w:r>
        <w:rPr>
          <w:rFonts w:hint="eastAsia" w:ascii="仿宋" w:hAnsi="仿宋" w:eastAsia="仿宋" w:cs="仿宋"/>
          <w:color w:val="auto"/>
          <w:sz w:val="32"/>
          <w:szCs w:val="32"/>
        </w:rPr>
        <w:t>印发《淮南市供销合作社联合社“十四五”规划纲要》</w:t>
      </w:r>
      <w:r>
        <w:rPr>
          <w:rFonts w:hint="eastAsia" w:ascii="仿宋" w:hAnsi="仿宋" w:eastAsia="仿宋" w:cs="仿宋"/>
          <w:color w:val="auto"/>
          <w:sz w:val="32"/>
          <w:szCs w:val="32"/>
          <w:lang w:eastAsia="zh-CN"/>
        </w:rPr>
        <w:t>，主动公开《淮南市供销社2021年工作规划》，</w:t>
      </w:r>
      <w:r>
        <w:rPr>
          <w:rFonts w:hint="eastAsia" w:ascii="仿宋" w:hAnsi="仿宋" w:eastAsia="仿宋" w:cs="仿宋"/>
          <w:color w:val="auto"/>
          <w:sz w:val="32"/>
          <w:szCs w:val="32"/>
          <w:lang w:val="en-US" w:eastAsia="zh-CN"/>
        </w:rPr>
        <w:t>积极推进本单位及部门预算、决算及相关报表公开。二是聚焦解读回应深化政务公开。不断提升政策解读质量效果，运用简明问答、图表图解等多元化形式和生动灵活的语言解读政策丰富政策解读形式；切实增强回应关切效果，加强舆情管理，主动回应市民关注的热点。</w:t>
      </w:r>
      <w:r>
        <w:rPr>
          <w:rFonts w:hint="eastAsia" w:ascii="仿宋" w:hAnsi="仿宋" w:eastAsia="仿宋" w:cs="仿宋"/>
          <w:i w:val="0"/>
          <w:iCs w:val="0"/>
          <w:caps w:val="0"/>
          <w:color w:val="auto"/>
          <w:spacing w:val="0"/>
          <w:sz w:val="32"/>
          <w:szCs w:val="32"/>
          <w:shd w:val="clear" w:fill="FFFFFF"/>
          <w:lang w:val="en-US" w:eastAsia="zh-CN"/>
        </w:rPr>
        <w:t>2021年11月，</w:t>
      </w:r>
      <w:r>
        <w:rPr>
          <w:rFonts w:hint="eastAsia" w:ascii="仿宋" w:hAnsi="仿宋" w:eastAsia="仿宋" w:cs="仿宋"/>
          <w:i w:val="0"/>
          <w:iCs w:val="0"/>
          <w:caps w:val="0"/>
          <w:color w:val="auto"/>
          <w:spacing w:val="0"/>
          <w:sz w:val="32"/>
          <w:szCs w:val="32"/>
          <w:shd w:val="clear" w:fill="FFFFFF"/>
        </w:rPr>
        <w:t>市供销社党组成员、理事会副主任顾云光走进淮南人民广播电台“政风行风热线”直播室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介绍当前供销社主要工作及相关政策，</w:t>
      </w:r>
      <w:r>
        <w:rPr>
          <w:rFonts w:hint="eastAsia" w:ascii="仿宋" w:hAnsi="仿宋" w:eastAsia="仿宋" w:cs="仿宋"/>
          <w:i w:val="0"/>
          <w:iCs w:val="0"/>
          <w:caps w:val="0"/>
          <w:color w:val="auto"/>
          <w:spacing w:val="0"/>
          <w:sz w:val="32"/>
          <w:szCs w:val="32"/>
          <w:shd w:val="clear" w:fill="FFFFFF"/>
          <w:lang w:eastAsia="zh-CN"/>
        </w:rPr>
        <w:t>听取群众</w:t>
      </w:r>
      <w:r>
        <w:rPr>
          <w:rFonts w:hint="eastAsia" w:ascii="仿宋" w:hAnsi="仿宋" w:eastAsia="仿宋" w:cs="仿宋"/>
          <w:i w:val="0"/>
          <w:iCs w:val="0"/>
          <w:caps w:val="0"/>
          <w:color w:val="auto"/>
          <w:spacing w:val="0"/>
          <w:sz w:val="32"/>
          <w:szCs w:val="32"/>
          <w:shd w:val="clear" w:fill="FFFFFF"/>
        </w:rPr>
        <w:t>有关问题</w:t>
      </w:r>
      <w:r>
        <w:rPr>
          <w:rFonts w:hint="eastAsia" w:ascii="仿宋" w:hAnsi="仿宋" w:eastAsia="仿宋" w:cs="仿宋"/>
          <w:i w:val="0"/>
          <w:iCs w:val="0"/>
          <w:caps w:val="0"/>
          <w:color w:val="auto"/>
          <w:spacing w:val="0"/>
          <w:sz w:val="32"/>
          <w:szCs w:val="32"/>
          <w:shd w:val="clear" w:fill="FFFFFF"/>
          <w:lang w:eastAsia="zh-CN"/>
        </w:rPr>
        <w:t>并</w:t>
      </w:r>
      <w:r>
        <w:rPr>
          <w:rFonts w:hint="eastAsia" w:ascii="仿宋" w:hAnsi="仿宋" w:eastAsia="仿宋" w:cs="仿宋"/>
          <w:i w:val="0"/>
          <w:iCs w:val="0"/>
          <w:caps w:val="0"/>
          <w:color w:val="auto"/>
          <w:spacing w:val="0"/>
          <w:sz w:val="32"/>
          <w:szCs w:val="32"/>
          <w:shd w:val="clear" w:fill="FFFFFF"/>
        </w:rPr>
        <w:t>现场进行详细解答。</w:t>
      </w:r>
      <w:r>
        <w:rPr>
          <w:rFonts w:hint="eastAsia" w:ascii="仿宋" w:hAnsi="仿宋" w:eastAsia="仿宋" w:cs="仿宋"/>
          <w:color w:val="auto"/>
          <w:kern w:val="2"/>
          <w:sz w:val="32"/>
          <w:szCs w:val="32"/>
          <w:lang w:val="en-US" w:eastAsia="zh-CN" w:bidi="ar-SA"/>
        </w:rPr>
        <w:t>通过这种方式，使政策理解更加通俗易懂，提高了政策的可读性与知晓度。三是</w:t>
      </w:r>
      <w:r>
        <w:rPr>
          <w:rFonts w:hint="eastAsia" w:ascii="仿宋" w:hAnsi="仿宋" w:eastAsia="仿宋" w:cs="仿宋"/>
          <w:i w:val="0"/>
          <w:color w:val="auto"/>
          <w:kern w:val="0"/>
          <w:sz w:val="32"/>
          <w:szCs w:val="32"/>
          <w:u w:val="none"/>
          <w:lang w:val="en-US" w:eastAsia="zh-CN" w:bidi="ar"/>
        </w:rPr>
        <w:t>聚焦条例落实深化政务公开。准确适用《中华人民共和国政府信息公开条例》，对法定不予公开条款坚持最小化适用原则，最大限度保障公民知情权。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bCs/>
          <w:color w:val="auto"/>
          <w:sz w:val="32"/>
          <w:szCs w:val="32"/>
          <w:lang w:eastAsia="zh-CN"/>
        </w:rPr>
      </w:pPr>
      <w:r>
        <w:rPr>
          <w:rFonts w:hint="eastAsia" w:ascii="楷体" w:hAnsi="楷体" w:eastAsia="楷体" w:cs="楷体"/>
          <w:b w:val="0"/>
          <w:bCs w:val="0"/>
          <w:color w:val="auto"/>
          <w:kern w:val="2"/>
          <w:sz w:val="32"/>
          <w:szCs w:val="32"/>
          <w:lang w:val="en-US" w:eastAsia="zh-CN" w:bidi="ar-SA"/>
        </w:rPr>
        <w:t>二、依申请公开情况。</w:t>
      </w:r>
      <w:r>
        <w:rPr>
          <w:rFonts w:hint="eastAsia" w:ascii="仿宋" w:hAnsi="仿宋" w:eastAsia="仿宋" w:cs="仿宋"/>
          <w:i w:val="0"/>
          <w:caps w:val="0"/>
          <w:color w:val="auto"/>
          <w:spacing w:val="0"/>
          <w:sz w:val="32"/>
          <w:szCs w:val="32"/>
          <w:shd w:val="clear" w:fill="FFFFFF"/>
        </w:rPr>
        <w:t>由于市供销社不是政府组成部门，不具备行政权力，也没有审批项目。所以，市供销社开展政府信息公开工作以来，没有收到任何依申请公开政府信息的申请，也没有收到任何因政府信息公开申请产生的行政复议，没有发生因政府信息公开申请提出的行政诉讼。</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 w:hAnsi="仿宋" w:eastAsia="仿宋" w:cs="仿宋"/>
          <w:b/>
          <w:bCs/>
          <w:color w:val="auto"/>
          <w:sz w:val="32"/>
          <w:szCs w:val="32"/>
          <w:lang w:eastAsia="zh-CN"/>
        </w:rPr>
      </w:pPr>
      <w:r>
        <w:rPr>
          <w:rFonts w:hint="eastAsia" w:ascii="楷体" w:hAnsi="楷体" w:eastAsia="楷体" w:cs="楷体"/>
          <w:b w:val="0"/>
          <w:bCs w:val="0"/>
          <w:color w:val="auto"/>
          <w:sz w:val="32"/>
          <w:szCs w:val="32"/>
          <w:lang w:eastAsia="zh-CN"/>
        </w:rPr>
        <w:t>三、政府信息管理。</w:t>
      </w:r>
      <w:r>
        <w:rPr>
          <w:rFonts w:hint="eastAsia" w:ascii="仿宋" w:hAnsi="仿宋" w:eastAsia="仿宋" w:cs="仿宋"/>
          <w:i w:val="0"/>
          <w:color w:val="auto"/>
          <w:kern w:val="0"/>
          <w:sz w:val="32"/>
          <w:szCs w:val="32"/>
          <w:u w:val="none"/>
          <w:lang w:val="en-US" w:eastAsia="zh-CN" w:bidi="ar"/>
        </w:rPr>
        <w:t>做好政务信息管理工作，</w:t>
      </w:r>
      <w:r>
        <w:rPr>
          <w:rFonts w:hint="eastAsia" w:ascii="仿宋" w:hAnsi="仿宋" w:eastAsia="仿宋" w:cs="仿宋"/>
          <w:color w:val="auto"/>
          <w:sz w:val="32"/>
          <w:szCs w:val="32"/>
          <w:lang w:val="en-US" w:eastAsia="zh-CN"/>
        </w:rPr>
        <w:t>通过政府网站的政府信息公开专栏集中公开现行有效文件和文件目录，同时提供Word和PDF的格式下载，并提供相关文件的咨询渠道，方便公众查询使用。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b w:val="0"/>
          <w:bCs w:val="0"/>
          <w:color w:val="auto"/>
          <w:kern w:val="2"/>
          <w:sz w:val="32"/>
          <w:szCs w:val="32"/>
          <w:lang w:val="en-US" w:eastAsia="zh-CN" w:bidi="ar-SA"/>
        </w:rPr>
        <w:t>四、政府信息公开平台建设。</w:t>
      </w:r>
      <w:r>
        <w:rPr>
          <w:rFonts w:hint="eastAsia" w:ascii="仿宋" w:hAnsi="仿宋" w:eastAsia="仿宋" w:cs="仿宋"/>
          <w:b w:val="0"/>
          <w:bCs w:val="0"/>
          <w:color w:val="auto"/>
          <w:kern w:val="0"/>
          <w:sz w:val="32"/>
          <w:szCs w:val="32"/>
          <w:shd w:val="clear" w:fill="FFFFFF"/>
          <w:lang w:val="en-US" w:eastAsia="zh-CN" w:bidi="ar"/>
        </w:rPr>
        <w:t>正确执行关于主动公开的新规定，以政府信息公开平台为依托，推动公开内容进一步聚焦重点政务信息，规范公开方式，按照政府信息主动公开目录规范完善栏目，法定主动公开内容实现全部公开。完善门户网站政府信息公开专栏，突出展示本部门政策文件，并严格界定政府信息公开制度等内容，充分发挥政府门户网站政务</w:t>
      </w:r>
      <w:r>
        <w:rPr>
          <w:rFonts w:hint="eastAsia" w:ascii="仿宋" w:hAnsi="仿宋" w:eastAsia="仿宋" w:cs="仿宋"/>
          <w:color w:val="auto"/>
          <w:kern w:val="0"/>
          <w:sz w:val="32"/>
          <w:szCs w:val="32"/>
          <w:shd w:val="clear" w:fill="FFFFFF"/>
          <w:lang w:val="en-US" w:eastAsia="zh-CN" w:bidi="ar"/>
        </w:rPr>
        <w:t>公开第一平台作用。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90" w:lineRule="atLeast"/>
        <w:ind w:left="0" w:right="0" w:firstLine="640"/>
        <w:jc w:val="left"/>
        <w:rPr>
          <w:rFonts w:hint="eastAsia" w:ascii="黑体" w:hAnsi="黑体" w:eastAsia="黑体" w:cs="黑体"/>
          <w:color w:val="auto"/>
          <w:sz w:val="32"/>
          <w:szCs w:val="32"/>
        </w:rPr>
      </w:pPr>
      <w:r>
        <w:rPr>
          <w:rFonts w:hint="eastAsia" w:ascii="楷体" w:hAnsi="楷体" w:eastAsia="楷体" w:cs="楷体"/>
          <w:b w:val="0"/>
          <w:bCs w:val="0"/>
          <w:color w:val="auto"/>
          <w:sz w:val="32"/>
          <w:szCs w:val="32"/>
          <w:lang w:eastAsia="zh-CN"/>
        </w:rPr>
        <w:t>五、监督保障情况。</w:t>
      </w:r>
      <w:r>
        <w:rPr>
          <w:rFonts w:hint="eastAsia" w:ascii="仿宋" w:hAnsi="仿宋" w:eastAsia="仿宋" w:cs="仿宋"/>
          <w:b w:val="0"/>
          <w:bCs w:val="0"/>
          <w:color w:val="auto"/>
          <w:kern w:val="0"/>
          <w:sz w:val="32"/>
          <w:szCs w:val="32"/>
          <w:shd w:val="clear" w:fill="FFFFFF"/>
          <w:lang w:val="en-US" w:eastAsia="zh-CN" w:bidi="ar"/>
        </w:rPr>
        <w:t>我单位高度重视政务公开考核工作，把政务公开纳入年度目标工作考核。制定</w:t>
      </w:r>
      <w:r>
        <w:rPr>
          <w:rFonts w:hint="default" w:ascii="仿宋" w:hAnsi="仿宋" w:eastAsia="仿宋" w:cs="仿宋"/>
          <w:b w:val="0"/>
          <w:bCs w:val="0"/>
          <w:color w:val="auto"/>
          <w:kern w:val="0"/>
          <w:sz w:val="32"/>
          <w:szCs w:val="32"/>
          <w:shd w:val="clear" w:fill="FFFFFF"/>
          <w:lang w:val="en-US" w:eastAsia="zh-CN" w:bidi="ar"/>
        </w:rPr>
        <w:t>2021</w:t>
      </w:r>
      <w:r>
        <w:rPr>
          <w:rFonts w:hint="eastAsia" w:ascii="仿宋" w:hAnsi="仿宋" w:eastAsia="仿宋" w:cs="仿宋"/>
          <w:b w:val="0"/>
          <w:bCs w:val="0"/>
          <w:color w:val="auto"/>
          <w:kern w:val="0"/>
          <w:sz w:val="32"/>
          <w:szCs w:val="32"/>
          <w:shd w:val="clear" w:fill="FFFFFF"/>
          <w:lang w:val="en-US" w:eastAsia="zh-CN" w:bidi="ar"/>
        </w:rPr>
        <w:t>年政务公开重点工作任务分工，明确将各项公开栏目任务分解到责任科室，并由办公室做好跟踪督办，确保各项信息及时公开。严格执行社会评议制度，自觉接受社会各界监督。本年度未发生政务公开责任追究情况。</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二、主动公开政府信息情况</w:t>
      </w:r>
    </w:p>
    <w:p>
      <w:pPr>
        <w:pStyle w:val="3"/>
        <w:ind w:left="0"/>
        <w:rPr>
          <w:rFonts w:ascii="黑体"/>
          <w:sz w:val="22"/>
        </w:rPr>
      </w:pPr>
    </w:p>
    <w:tbl>
      <w:tblPr>
        <w:tblStyle w:val="6"/>
        <w:tblW w:w="0" w:type="auto"/>
        <w:tblInd w:w="4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25"/>
        <w:gridCol w:w="2025"/>
        <w:gridCol w:w="2025"/>
        <w:gridCol w:w="20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8100" w:type="dxa"/>
            <w:gridSpan w:val="4"/>
            <w:shd w:val="clear" w:color="auto" w:fill="C6DAF2"/>
          </w:tcPr>
          <w:p>
            <w:pPr>
              <w:pStyle w:val="21"/>
              <w:spacing w:before="58"/>
              <w:ind w:left="3072" w:right="3055"/>
              <w:jc w:val="center"/>
              <w:rPr>
                <w:sz w:val="20"/>
              </w:rPr>
            </w:pPr>
            <w:r>
              <w:rPr>
                <w:sz w:val="20"/>
              </w:rPr>
              <w:t>第二十条第</w:t>
            </w:r>
            <w:r>
              <w:rPr>
                <w:w w:val="65"/>
                <w:sz w:val="20"/>
              </w:rPr>
              <w:t>（</w:t>
            </w:r>
            <w:r>
              <w:rPr>
                <w:spacing w:val="60"/>
                <w:w w:val="65"/>
                <w:sz w:val="20"/>
              </w:rPr>
              <w:t xml:space="preserve"> </w:t>
            </w:r>
            <w:r>
              <w:rPr>
                <w:sz w:val="20"/>
              </w:rPr>
              <w:t>一</w:t>
            </w:r>
            <w:r>
              <w:rPr>
                <w:w w:val="65"/>
                <w:sz w:val="20"/>
              </w:rPr>
              <w:t>）</w:t>
            </w:r>
            <w:r>
              <w:rPr>
                <w:spacing w:val="62"/>
                <w:w w:val="65"/>
                <w:sz w:val="20"/>
              </w:rPr>
              <w:t xml:space="preserve"> </w:t>
            </w:r>
            <w:r>
              <w:rPr>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2025" w:type="dxa"/>
          </w:tcPr>
          <w:p>
            <w:pPr>
              <w:pStyle w:val="21"/>
              <w:spacing w:before="60"/>
              <w:ind w:right="591"/>
              <w:jc w:val="right"/>
              <w:rPr>
                <w:sz w:val="20"/>
              </w:rPr>
            </w:pPr>
            <w:r>
              <w:rPr>
                <w:w w:val="95"/>
                <w:sz w:val="20"/>
              </w:rPr>
              <w:t>信息内容</w:t>
            </w:r>
          </w:p>
        </w:tc>
        <w:tc>
          <w:tcPr>
            <w:tcW w:w="2025" w:type="dxa"/>
          </w:tcPr>
          <w:p>
            <w:pPr>
              <w:pStyle w:val="21"/>
              <w:spacing w:before="60"/>
              <w:ind w:left="410"/>
              <w:rPr>
                <w:sz w:val="20"/>
              </w:rPr>
            </w:pPr>
            <w:r>
              <w:rPr>
                <w:sz w:val="20"/>
              </w:rPr>
              <w:t>本年制发件数</w:t>
            </w:r>
          </w:p>
        </w:tc>
        <w:tc>
          <w:tcPr>
            <w:tcW w:w="2025" w:type="dxa"/>
          </w:tcPr>
          <w:p>
            <w:pPr>
              <w:pStyle w:val="21"/>
              <w:spacing w:before="60"/>
              <w:ind w:left="411"/>
              <w:rPr>
                <w:sz w:val="20"/>
              </w:rPr>
            </w:pPr>
            <w:r>
              <w:rPr>
                <w:sz w:val="20"/>
              </w:rPr>
              <w:t>本年废止件数</w:t>
            </w:r>
          </w:p>
        </w:tc>
        <w:tc>
          <w:tcPr>
            <w:tcW w:w="2025" w:type="dxa"/>
          </w:tcPr>
          <w:p>
            <w:pPr>
              <w:pStyle w:val="21"/>
              <w:spacing w:before="60"/>
              <w:ind w:left="412"/>
              <w:rPr>
                <w:sz w:val="20"/>
              </w:rPr>
            </w:pPr>
            <w:r>
              <w:rPr>
                <w:sz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2025" w:type="dxa"/>
          </w:tcPr>
          <w:p>
            <w:pPr>
              <w:pStyle w:val="21"/>
              <w:spacing w:before="59"/>
              <w:ind w:left="57"/>
              <w:rPr>
                <w:sz w:val="20"/>
              </w:rPr>
            </w:pPr>
            <w:r>
              <w:rPr>
                <w:sz w:val="20"/>
              </w:rPr>
              <w:t>规章</w:t>
            </w:r>
          </w:p>
        </w:tc>
        <w:tc>
          <w:tcPr>
            <w:tcW w:w="2025" w:type="dxa"/>
          </w:tcPr>
          <w:p>
            <w:pPr>
              <w:pStyle w:val="21"/>
              <w:jc w:val="center"/>
              <w:rPr>
                <w:rFonts w:hint="eastAsia" w:ascii="Times New Roman" w:eastAsia="宋体"/>
                <w:sz w:val="24"/>
                <w:lang w:val="en-US" w:eastAsia="zh-CN"/>
              </w:rPr>
            </w:pPr>
            <w:r>
              <w:rPr>
                <w:rFonts w:hint="eastAsia" w:ascii="Times New Roman"/>
                <w:sz w:val="24"/>
                <w:lang w:val="en-US" w:eastAsia="zh-CN"/>
              </w:rPr>
              <w:t>0</w:t>
            </w:r>
          </w:p>
        </w:tc>
        <w:tc>
          <w:tcPr>
            <w:tcW w:w="2025" w:type="dxa"/>
          </w:tcPr>
          <w:p>
            <w:pPr>
              <w:pStyle w:val="21"/>
              <w:jc w:val="center"/>
              <w:rPr>
                <w:rFonts w:hint="eastAsia" w:ascii="Times New Roman" w:eastAsia="宋体"/>
                <w:sz w:val="24"/>
                <w:lang w:val="en-US" w:eastAsia="zh-CN"/>
              </w:rPr>
            </w:pPr>
            <w:r>
              <w:rPr>
                <w:rFonts w:hint="eastAsia" w:ascii="Times New Roman"/>
                <w:sz w:val="24"/>
                <w:lang w:val="en-US" w:eastAsia="zh-CN"/>
              </w:rPr>
              <w:t>0</w:t>
            </w:r>
          </w:p>
        </w:tc>
        <w:tc>
          <w:tcPr>
            <w:tcW w:w="2025" w:type="dxa"/>
          </w:tcPr>
          <w:p>
            <w:pPr>
              <w:pStyle w:val="21"/>
              <w:jc w:val="center"/>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2025" w:type="dxa"/>
          </w:tcPr>
          <w:p>
            <w:pPr>
              <w:pStyle w:val="21"/>
              <w:spacing w:before="58"/>
              <w:ind w:left="57"/>
              <w:rPr>
                <w:sz w:val="20"/>
              </w:rPr>
            </w:pPr>
            <w:r>
              <w:rPr>
                <w:sz w:val="20"/>
              </w:rPr>
              <w:t>行政规范性文件</w:t>
            </w:r>
          </w:p>
        </w:tc>
        <w:tc>
          <w:tcPr>
            <w:tcW w:w="2025" w:type="dxa"/>
          </w:tcPr>
          <w:p>
            <w:pPr>
              <w:pStyle w:val="21"/>
              <w:jc w:val="center"/>
              <w:rPr>
                <w:rFonts w:hint="eastAsia" w:ascii="Times New Roman" w:eastAsia="宋体"/>
                <w:sz w:val="24"/>
                <w:lang w:val="en-US" w:eastAsia="zh-CN"/>
              </w:rPr>
            </w:pPr>
            <w:r>
              <w:rPr>
                <w:rFonts w:hint="eastAsia" w:ascii="Times New Roman"/>
                <w:sz w:val="24"/>
                <w:lang w:val="en-US" w:eastAsia="zh-CN"/>
              </w:rPr>
              <w:t>3</w:t>
            </w:r>
          </w:p>
        </w:tc>
        <w:tc>
          <w:tcPr>
            <w:tcW w:w="2025" w:type="dxa"/>
          </w:tcPr>
          <w:p>
            <w:pPr>
              <w:pStyle w:val="21"/>
              <w:jc w:val="center"/>
              <w:rPr>
                <w:rFonts w:hint="eastAsia" w:ascii="Times New Roman" w:eastAsia="宋体"/>
                <w:sz w:val="24"/>
                <w:lang w:val="en-US" w:eastAsia="zh-CN"/>
              </w:rPr>
            </w:pPr>
            <w:r>
              <w:rPr>
                <w:rFonts w:hint="eastAsia" w:ascii="Times New Roman"/>
                <w:sz w:val="24"/>
                <w:lang w:val="en-US" w:eastAsia="zh-CN"/>
              </w:rPr>
              <w:t>0</w:t>
            </w:r>
          </w:p>
        </w:tc>
        <w:tc>
          <w:tcPr>
            <w:tcW w:w="2025" w:type="dxa"/>
          </w:tcPr>
          <w:p>
            <w:pPr>
              <w:pStyle w:val="21"/>
              <w:jc w:val="center"/>
              <w:rPr>
                <w:rFonts w:hint="default" w:ascii="Times New Roman" w:eastAsia="宋体"/>
                <w:sz w:val="24"/>
                <w:lang w:val="en-US" w:eastAsia="zh-CN"/>
              </w:rPr>
            </w:pPr>
            <w:r>
              <w:rPr>
                <w:rFonts w:hint="eastAsia" w:ascii="Times New Roman"/>
                <w:sz w:val="24"/>
                <w:lang w:val="en-US" w:eastAsia="zh-CN"/>
              </w:rPr>
              <w:t>13</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8100" w:type="dxa"/>
            <w:gridSpan w:val="4"/>
            <w:shd w:val="clear" w:color="auto" w:fill="C6DAF2"/>
          </w:tcPr>
          <w:p>
            <w:pPr>
              <w:pStyle w:val="21"/>
              <w:spacing w:before="59"/>
              <w:ind w:left="3072" w:right="3055"/>
              <w:jc w:val="center"/>
              <w:rPr>
                <w:sz w:val="20"/>
              </w:rPr>
            </w:pPr>
            <w:r>
              <w:rPr>
                <w:sz w:val="20"/>
              </w:rPr>
              <w:t>第二十条第</w:t>
            </w:r>
            <w:r>
              <w:rPr>
                <w:w w:val="65"/>
                <w:sz w:val="20"/>
              </w:rPr>
              <w:t>（</w:t>
            </w:r>
            <w:r>
              <w:rPr>
                <w:spacing w:val="60"/>
                <w:w w:val="65"/>
                <w:sz w:val="20"/>
              </w:rPr>
              <w:t xml:space="preserve"> </w:t>
            </w:r>
            <w:r>
              <w:rPr>
                <w:sz w:val="20"/>
              </w:rPr>
              <w:t>五</w:t>
            </w:r>
            <w:r>
              <w:rPr>
                <w:w w:val="65"/>
                <w:sz w:val="20"/>
              </w:rPr>
              <w:t>）</w:t>
            </w:r>
            <w:r>
              <w:rPr>
                <w:spacing w:val="62"/>
                <w:w w:val="65"/>
                <w:sz w:val="20"/>
              </w:rPr>
              <w:t xml:space="preserve"> </w:t>
            </w:r>
            <w:r>
              <w:rPr>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2025" w:type="dxa"/>
          </w:tcPr>
          <w:p>
            <w:pPr>
              <w:pStyle w:val="21"/>
              <w:spacing w:before="58"/>
              <w:ind w:right="591"/>
              <w:jc w:val="right"/>
              <w:rPr>
                <w:sz w:val="20"/>
              </w:rPr>
            </w:pPr>
            <w:r>
              <w:rPr>
                <w:w w:val="95"/>
                <w:sz w:val="20"/>
              </w:rPr>
              <w:t>信息内容</w:t>
            </w:r>
          </w:p>
        </w:tc>
        <w:tc>
          <w:tcPr>
            <w:tcW w:w="6075" w:type="dxa"/>
            <w:gridSpan w:val="3"/>
          </w:tcPr>
          <w:p>
            <w:pPr>
              <w:pStyle w:val="21"/>
              <w:spacing w:before="58"/>
              <w:ind w:left="2216" w:right="2198"/>
              <w:jc w:val="center"/>
              <w:rPr>
                <w:sz w:val="20"/>
              </w:rPr>
            </w:pPr>
            <w:r>
              <w:rPr>
                <w:sz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2025" w:type="dxa"/>
          </w:tcPr>
          <w:p>
            <w:pPr>
              <w:pStyle w:val="21"/>
              <w:spacing w:before="60"/>
              <w:ind w:left="57"/>
              <w:rPr>
                <w:sz w:val="20"/>
              </w:rPr>
            </w:pPr>
            <w:r>
              <w:rPr>
                <w:sz w:val="20"/>
              </w:rPr>
              <w:t>行政许可</w:t>
            </w:r>
          </w:p>
        </w:tc>
        <w:tc>
          <w:tcPr>
            <w:tcW w:w="6075" w:type="dxa"/>
            <w:gridSpan w:val="3"/>
          </w:tcPr>
          <w:p>
            <w:pPr>
              <w:pStyle w:val="21"/>
              <w:jc w:val="center"/>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8100" w:type="dxa"/>
            <w:gridSpan w:val="4"/>
            <w:shd w:val="clear" w:color="auto" w:fill="C6DAF2"/>
          </w:tcPr>
          <w:p>
            <w:pPr>
              <w:pStyle w:val="21"/>
              <w:spacing w:before="59"/>
              <w:ind w:left="3072" w:right="3055"/>
              <w:jc w:val="center"/>
              <w:rPr>
                <w:sz w:val="20"/>
              </w:rPr>
            </w:pPr>
            <w:r>
              <w:rPr>
                <w:sz w:val="20"/>
              </w:rPr>
              <w:t>第二十条第</w:t>
            </w:r>
            <w:r>
              <w:rPr>
                <w:w w:val="65"/>
                <w:sz w:val="20"/>
              </w:rPr>
              <w:t>（</w:t>
            </w:r>
            <w:r>
              <w:rPr>
                <w:spacing w:val="60"/>
                <w:w w:val="65"/>
                <w:sz w:val="20"/>
              </w:rPr>
              <w:t xml:space="preserve"> </w:t>
            </w:r>
            <w:r>
              <w:rPr>
                <w:sz w:val="20"/>
              </w:rPr>
              <w:t>六</w:t>
            </w:r>
            <w:r>
              <w:rPr>
                <w:w w:val="65"/>
                <w:sz w:val="20"/>
              </w:rPr>
              <w:t>）</w:t>
            </w:r>
            <w:r>
              <w:rPr>
                <w:spacing w:val="62"/>
                <w:w w:val="65"/>
                <w:sz w:val="20"/>
              </w:rPr>
              <w:t xml:space="preserve"> </w:t>
            </w:r>
            <w:r>
              <w:rPr>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2025" w:type="dxa"/>
          </w:tcPr>
          <w:p>
            <w:pPr>
              <w:pStyle w:val="21"/>
              <w:spacing w:before="60"/>
              <w:ind w:right="591"/>
              <w:jc w:val="right"/>
              <w:rPr>
                <w:sz w:val="20"/>
              </w:rPr>
            </w:pPr>
            <w:r>
              <w:rPr>
                <w:w w:val="95"/>
                <w:sz w:val="20"/>
              </w:rPr>
              <w:t>信息内容</w:t>
            </w:r>
          </w:p>
        </w:tc>
        <w:tc>
          <w:tcPr>
            <w:tcW w:w="6075" w:type="dxa"/>
            <w:gridSpan w:val="3"/>
          </w:tcPr>
          <w:p>
            <w:pPr>
              <w:pStyle w:val="21"/>
              <w:spacing w:before="60"/>
              <w:ind w:left="2216" w:right="2198"/>
              <w:jc w:val="center"/>
              <w:rPr>
                <w:sz w:val="20"/>
              </w:rPr>
            </w:pPr>
            <w:r>
              <w:rPr>
                <w:sz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2025" w:type="dxa"/>
          </w:tcPr>
          <w:p>
            <w:pPr>
              <w:pStyle w:val="21"/>
              <w:spacing w:before="59"/>
              <w:ind w:left="57"/>
              <w:rPr>
                <w:sz w:val="20"/>
              </w:rPr>
            </w:pPr>
            <w:r>
              <w:rPr>
                <w:sz w:val="20"/>
              </w:rPr>
              <w:t>行政处罚</w:t>
            </w:r>
          </w:p>
        </w:tc>
        <w:tc>
          <w:tcPr>
            <w:tcW w:w="6075" w:type="dxa"/>
            <w:gridSpan w:val="3"/>
          </w:tcPr>
          <w:p>
            <w:pPr>
              <w:pStyle w:val="21"/>
              <w:jc w:val="center"/>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2025" w:type="dxa"/>
          </w:tcPr>
          <w:p>
            <w:pPr>
              <w:pStyle w:val="21"/>
              <w:spacing w:before="58"/>
              <w:ind w:left="57"/>
              <w:rPr>
                <w:sz w:val="20"/>
              </w:rPr>
            </w:pPr>
            <w:r>
              <w:rPr>
                <w:sz w:val="20"/>
              </w:rPr>
              <w:t>行政强制</w:t>
            </w:r>
          </w:p>
        </w:tc>
        <w:tc>
          <w:tcPr>
            <w:tcW w:w="6075" w:type="dxa"/>
            <w:gridSpan w:val="3"/>
          </w:tcPr>
          <w:p>
            <w:pPr>
              <w:pStyle w:val="21"/>
              <w:jc w:val="center"/>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8100" w:type="dxa"/>
            <w:gridSpan w:val="4"/>
            <w:shd w:val="clear" w:color="auto" w:fill="C6DAF2"/>
          </w:tcPr>
          <w:p>
            <w:pPr>
              <w:pStyle w:val="21"/>
              <w:spacing w:before="59"/>
              <w:ind w:left="3072" w:right="3055"/>
              <w:jc w:val="center"/>
              <w:rPr>
                <w:sz w:val="20"/>
              </w:rPr>
            </w:pPr>
            <w:r>
              <w:rPr>
                <w:sz w:val="20"/>
              </w:rPr>
              <w:t>第二十条第</w:t>
            </w:r>
            <w:r>
              <w:rPr>
                <w:w w:val="65"/>
                <w:sz w:val="20"/>
              </w:rPr>
              <w:t>（</w:t>
            </w:r>
            <w:r>
              <w:rPr>
                <w:spacing w:val="60"/>
                <w:w w:val="65"/>
                <w:sz w:val="20"/>
              </w:rPr>
              <w:t xml:space="preserve"> </w:t>
            </w:r>
            <w:r>
              <w:rPr>
                <w:sz w:val="20"/>
              </w:rPr>
              <w:t>八</w:t>
            </w:r>
            <w:r>
              <w:rPr>
                <w:w w:val="65"/>
                <w:sz w:val="20"/>
              </w:rPr>
              <w:t>）</w:t>
            </w:r>
            <w:r>
              <w:rPr>
                <w:spacing w:val="62"/>
                <w:w w:val="65"/>
                <w:sz w:val="20"/>
              </w:rPr>
              <w:t xml:space="preserve"> </w:t>
            </w:r>
            <w:r>
              <w:rPr>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2025" w:type="dxa"/>
          </w:tcPr>
          <w:p>
            <w:pPr>
              <w:pStyle w:val="21"/>
              <w:spacing w:before="58"/>
              <w:ind w:right="591"/>
              <w:jc w:val="right"/>
              <w:rPr>
                <w:sz w:val="20"/>
              </w:rPr>
            </w:pPr>
            <w:r>
              <w:rPr>
                <w:w w:val="95"/>
                <w:sz w:val="20"/>
              </w:rPr>
              <w:t>信息内容</w:t>
            </w:r>
          </w:p>
        </w:tc>
        <w:tc>
          <w:tcPr>
            <w:tcW w:w="6075" w:type="dxa"/>
            <w:gridSpan w:val="3"/>
          </w:tcPr>
          <w:p>
            <w:pPr>
              <w:pStyle w:val="21"/>
              <w:spacing w:before="58"/>
              <w:ind w:left="1735"/>
              <w:jc w:val="center"/>
              <w:rPr>
                <w:sz w:val="20"/>
              </w:rPr>
            </w:pPr>
            <w:r>
              <w:rPr>
                <w:sz w:val="20"/>
              </w:rPr>
              <w:t>本年收费金额</w:t>
            </w:r>
            <w:r>
              <w:rPr>
                <w:w w:val="65"/>
                <w:sz w:val="20"/>
              </w:rPr>
              <w:t>（</w:t>
            </w:r>
            <w:r>
              <w:rPr>
                <w:spacing w:val="53"/>
                <w:w w:val="65"/>
                <w:sz w:val="20"/>
              </w:rPr>
              <w:t xml:space="preserve"> </w:t>
            </w:r>
            <w:r>
              <w:rPr>
                <w:sz w:val="20"/>
              </w:rPr>
              <w:t>单位</w:t>
            </w:r>
            <w:r>
              <w:rPr>
                <w:spacing w:val="27"/>
                <w:w w:val="65"/>
                <w:sz w:val="20"/>
              </w:rPr>
              <w:t xml:space="preserve">： </w:t>
            </w:r>
            <w:r>
              <w:rPr>
                <w:sz w:val="20"/>
              </w:rPr>
              <w:t>万元</w:t>
            </w:r>
            <w:r>
              <w:rPr>
                <w:w w:val="65"/>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025" w:type="dxa"/>
          </w:tcPr>
          <w:p>
            <w:pPr>
              <w:pStyle w:val="21"/>
              <w:spacing w:before="79"/>
              <w:ind w:left="57"/>
              <w:rPr>
                <w:sz w:val="20"/>
              </w:rPr>
            </w:pPr>
            <w:r>
              <w:rPr>
                <w:sz w:val="20"/>
              </w:rPr>
              <w:t>行政事业性收费</w:t>
            </w:r>
          </w:p>
        </w:tc>
        <w:tc>
          <w:tcPr>
            <w:tcW w:w="6075" w:type="dxa"/>
            <w:gridSpan w:val="3"/>
          </w:tcPr>
          <w:p>
            <w:pPr>
              <w:pStyle w:val="21"/>
              <w:jc w:val="center"/>
              <w:rPr>
                <w:rFonts w:hint="eastAsia" w:ascii="Times New Roman" w:eastAsia="宋体"/>
                <w:sz w:val="24"/>
                <w:lang w:val="en-US" w:eastAsia="zh-CN"/>
              </w:rPr>
            </w:pPr>
            <w:r>
              <w:rPr>
                <w:rFonts w:hint="eastAsia" w:ascii="Times New Roman"/>
                <w:sz w:val="24"/>
                <w:lang w:val="en-US" w:eastAsia="zh-CN"/>
              </w:rPr>
              <w:t>0</w:t>
            </w:r>
          </w:p>
        </w:tc>
      </w:tr>
    </w:tbl>
    <w:p>
      <w:pPr>
        <w:pStyle w:val="3"/>
        <w:spacing w:before="43" w:after="27"/>
        <w:ind w:left="580"/>
        <w:rPr>
          <w:rFonts w:hint="eastAsia" w:ascii="黑体" w:eastAsia="黑体"/>
          <w:color w:val="343434"/>
        </w:rPr>
      </w:pPr>
    </w:p>
    <w:p>
      <w:pPr>
        <w:pStyle w:val="3"/>
        <w:spacing w:before="43" w:after="27"/>
        <w:ind w:left="580"/>
        <w:rPr>
          <w:rFonts w:hint="eastAsia" w:ascii="黑体" w:eastAsia="黑体"/>
        </w:rPr>
      </w:pPr>
      <w:r>
        <w:rPr>
          <w:rFonts w:hint="eastAsia" w:ascii="黑体" w:eastAsia="黑体"/>
          <w:color w:val="343434"/>
        </w:rPr>
        <w:t>三、收到和处理政府信息公开申请情况</w:t>
      </w:r>
    </w:p>
    <w:tbl>
      <w:tblPr>
        <w:tblStyle w:val="6"/>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4239" w:type="dxa"/>
            <w:gridSpan w:val="3"/>
            <w:vMerge w:val="restart"/>
          </w:tcPr>
          <w:p>
            <w:pPr>
              <w:pStyle w:val="21"/>
              <w:rPr>
                <w:rFonts w:ascii="黑体"/>
                <w:sz w:val="20"/>
              </w:rPr>
            </w:pPr>
          </w:p>
          <w:p>
            <w:pPr>
              <w:pStyle w:val="21"/>
              <w:spacing w:before="5"/>
              <w:rPr>
                <w:rFonts w:ascii="黑体"/>
                <w:sz w:val="22"/>
              </w:rPr>
            </w:pPr>
          </w:p>
          <w:p>
            <w:pPr>
              <w:pStyle w:val="21"/>
              <w:spacing w:before="1" w:line="292" w:lineRule="auto"/>
              <w:ind w:left="108" w:right="109"/>
              <w:rPr>
                <w:rFonts w:hint="eastAsia" w:ascii="楷体" w:eastAsia="楷体"/>
                <w:sz w:val="20"/>
              </w:rPr>
            </w:pPr>
            <w:r>
              <w:rPr>
                <w:rFonts w:hint="eastAsia" w:ascii="楷体" w:eastAsia="楷体"/>
                <w:w w:val="95"/>
                <w:sz w:val="20"/>
              </w:rPr>
              <w:t xml:space="preserve">（本列数据的勾稽关系为：第一项加第二项之 </w:t>
            </w:r>
            <w:r>
              <w:rPr>
                <w:rFonts w:hint="eastAsia" w:ascii="楷体" w:eastAsia="楷体"/>
                <w:sz w:val="20"/>
              </w:rPr>
              <w:t>和，等于第三项加第四项之和）</w:t>
            </w:r>
          </w:p>
        </w:tc>
        <w:tc>
          <w:tcPr>
            <w:tcW w:w="4140" w:type="dxa"/>
            <w:gridSpan w:val="7"/>
          </w:tcPr>
          <w:p>
            <w:pPr>
              <w:pStyle w:val="21"/>
              <w:spacing w:before="37"/>
              <w:ind w:left="1548" w:right="1531"/>
              <w:jc w:val="center"/>
              <w:rPr>
                <w:sz w:val="20"/>
              </w:rPr>
            </w:pPr>
            <w:r>
              <w:rPr>
                <w:sz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4239" w:type="dxa"/>
            <w:gridSpan w:val="3"/>
            <w:vMerge w:val="continue"/>
            <w:tcBorders>
              <w:top w:val="nil"/>
            </w:tcBorders>
          </w:tcPr>
          <w:p>
            <w:pPr>
              <w:rPr>
                <w:sz w:val="2"/>
                <w:szCs w:val="2"/>
              </w:rPr>
            </w:pPr>
          </w:p>
        </w:tc>
        <w:tc>
          <w:tcPr>
            <w:tcW w:w="591" w:type="dxa"/>
            <w:vMerge w:val="restart"/>
          </w:tcPr>
          <w:p>
            <w:pPr>
              <w:pStyle w:val="21"/>
              <w:spacing w:before="8"/>
              <w:rPr>
                <w:rFonts w:ascii="黑体"/>
                <w:sz w:val="28"/>
              </w:rPr>
            </w:pPr>
          </w:p>
          <w:p>
            <w:pPr>
              <w:pStyle w:val="21"/>
              <w:spacing w:line="292" w:lineRule="auto"/>
              <w:ind w:left="194" w:right="77" w:hanging="101"/>
              <w:rPr>
                <w:sz w:val="20"/>
              </w:rPr>
            </w:pPr>
            <w:r>
              <w:rPr>
                <w:sz w:val="20"/>
              </w:rPr>
              <w:t>自然人</w:t>
            </w:r>
          </w:p>
        </w:tc>
        <w:tc>
          <w:tcPr>
            <w:tcW w:w="2957" w:type="dxa"/>
            <w:gridSpan w:val="5"/>
          </w:tcPr>
          <w:p>
            <w:pPr>
              <w:pStyle w:val="21"/>
              <w:spacing w:before="38"/>
              <w:ind w:left="776"/>
              <w:rPr>
                <w:sz w:val="20"/>
              </w:rPr>
            </w:pPr>
            <w:r>
              <w:rPr>
                <w:sz w:val="20"/>
              </w:rPr>
              <w:t>法人或其他组织</w:t>
            </w:r>
          </w:p>
        </w:tc>
        <w:tc>
          <w:tcPr>
            <w:tcW w:w="592" w:type="dxa"/>
            <w:vMerge w:val="restart"/>
          </w:tcPr>
          <w:p>
            <w:pPr>
              <w:pStyle w:val="21"/>
              <w:rPr>
                <w:rFonts w:ascii="黑体"/>
                <w:sz w:val="20"/>
              </w:rPr>
            </w:pPr>
          </w:p>
          <w:p>
            <w:pPr>
              <w:pStyle w:val="21"/>
              <w:spacing w:before="10"/>
              <w:rPr>
                <w:rFonts w:ascii="黑体"/>
                <w:sz w:val="20"/>
              </w:rPr>
            </w:pPr>
          </w:p>
          <w:p>
            <w:pPr>
              <w:pStyle w:val="21"/>
              <w:ind w:left="95"/>
              <w:rPr>
                <w:sz w:val="20"/>
              </w:rPr>
            </w:pPr>
            <w:r>
              <w:rPr>
                <w:sz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4239" w:type="dxa"/>
            <w:gridSpan w:val="3"/>
            <w:vMerge w:val="continue"/>
            <w:tcBorders>
              <w:top w:val="nil"/>
            </w:tcBorders>
          </w:tcPr>
          <w:p>
            <w:pPr>
              <w:rPr>
                <w:sz w:val="2"/>
                <w:szCs w:val="2"/>
              </w:rPr>
            </w:pPr>
          </w:p>
        </w:tc>
        <w:tc>
          <w:tcPr>
            <w:tcW w:w="591" w:type="dxa"/>
            <w:vMerge w:val="continue"/>
            <w:tcBorders>
              <w:top w:val="nil"/>
            </w:tcBorders>
          </w:tcPr>
          <w:p>
            <w:pPr>
              <w:rPr>
                <w:sz w:val="2"/>
                <w:szCs w:val="2"/>
              </w:rPr>
            </w:pPr>
          </w:p>
        </w:tc>
        <w:tc>
          <w:tcPr>
            <w:tcW w:w="591" w:type="dxa"/>
          </w:tcPr>
          <w:p>
            <w:pPr>
              <w:pStyle w:val="21"/>
              <w:rPr>
                <w:rFonts w:ascii="黑体"/>
                <w:sz w:val="15"/>
              </w:rPr>
            </w:pPr>
          </w:p>
          <w:p>
            <w:pPr>
              <w:pStyle w:val="21"/>
              <w:spacing w:line="292" w:lineRule="auto"/>
              <w:ind w:left="95" w:right="75"/>
              <w:rPr>
                <w:sz w:val="20"/>
              </w:rPr>
            </w:pPr>
            <w:r>
              <w:rPr>
                <w:sz w:val="20"/>
              </w:rPr>
              <w:t>商业企业</w:t>
            </w:r>
          </w:p>
        </w:tc>
        <w:tc>
          <w:tcPr>
            <w:tcW w:w="591" w:type="dxa"/>
          </w:tcPr>
          <w:p>
            <w:pPr>
              <w:pStyle w:val="21"/>
              <w:rPr>
                <w:rFonts w:ascii="黑体"/>
                <w:sz w:val="15"/>
              </w:rPr>
            </w:pPr>
          </w:p>
          <w:p>
            <w:pPr>
              <w:pStyle w:val="21"/>
              <w:spacing w:line="292" w:lineRule="auto"/>
              <w:ind w:left="94" w:right="76"/>
              <w:rPr>
                <w:sz w:val="20"/>
              </w:rPr>
            </w:pPr>
            <w:r>
              <w:rPr>
                <w:sz w:val="20"/>
              </w:rPr>
              <w:t>科研机构</w:t>
            </w:r>
          </w:p>
        </w:tc>
        <w:tc>
          <w:tcPr>
            <w:tcW w:w="591" w:type="dxa"/>
          </w:tcPr>
          <w:p>
            <w:pPr>
              <w:pStyle w:val="21"/>
              <w:spacing w:before="36" w:line="292" w:lineRule="auto"/>
              <w:ind w:left="94" w:right="76"/>
              <w:rPr>
                <w:sz w:val="20"/>
              </w:rPr>
            </w:pPr>
            <w:r>
              <w:rPr>
                <w:spacing w:val="-9"/>
                <w:sz w:val="20"/>
              </w:rPr>
              <w:t>社会</w:t>
            </w:r>
            <w:r>
              <w:rPr>
                <w:spacing w:val="-9"/>
                <w:w w:val="95"/>
                <w:sz w:val="20"/>
              </w:rPr>
              <w:t>公益</w:t>
            </w:r>
          </w:p>
          <w:p>
            <w:pPr>
              <w:pStyle w:val="21"/>
              <w:spacing w:line="255" w:lineRule="exact"/>
              <w:ind w:left="94"/>
              <w:rPr>
                <w:sz w:val="20"/>
              </w:rPr>
            </w:pPr>
            <w:r>
              <w:rPr>
                <w:w w:val="95"/>
                <w:sz w:val="20"/>
              </w:rPr>
              <w:t>组织</w:t>
            </w:r>
          </w:p>
        </w:tc>
        <w:tc>
          <w:tcPr>
            <w:tcW w:w="591" w:type="dxa"/>
          </w:tcPr>
          <w:p>
            <w:pPr>
              <w:pStyle w:val="21"/>
              <w:spacing w:before="36" w:line="292" w:lineRule="auto"/>
              <w:ind w:left="93" w:right="77"/>
              <w:rPr>
                <w:sz w:val="20"/>
              </w:rPr>
            </w:pPr>
            <w:r>
              <w:rPr>
                <w:spacing w:val="-9"/>
                <w:sz w:val="20"/>
              </w:rPr>
              <w:t>法律</w:t>
            </w:r>
            <w:r>
              <w:rPr>
                <w:spacing w:val="-9"/>
                <w:w w:val="95"/>
                <w:sz w:val="20"/>
              </w:rPr>
              <w:t>服务</w:t>
            </w:r>
          </w:p>
          <w:p>
            <w:pPr>
              <w:pStyle w:val="21"/>
              <w:spacing w:line="255" w:lineRule="exact"/>
              <w:ind w:left="93"/>
              <w:rPr>
                <w:sz w:val="20"/>
              </w:rPr>
            </w:pPr>
            <w:r>
              <w:rPr>
                <w:w w:val="95"/>
                <w:sz w:val="20"/>
              </w:rPr>
              <w:t>机构</w:t>
            </w:r>
          </w:p>
        </w:tc>
        <w:tc>
          <w:tcPr>
            <w:tcW w:w="593" w:type="dxa"/>
          </w:tcPr>
          <w:p>
            <w:pPr>
              <w:pStyle w:val="21"/>
              <w:spacing w:before="2"/>
              <w:rPr>
                <w:rFonts w:ascii="黑体"/>
                <w:sz w:val="27"/>
              </w:rPr>
            </w:pPr>
          </w:p>
          <w:p>
            <w:pPr>
              <w:pStyle w:val="21"/>
              <w:spacing w:before="1"/>
              <w:ind w:left="95"/>
              <w:rPr>
                <w:sz w:val="20"/>
              </w:rPr>
            </w:pPr>
            <w:r>
              <w:rPr>
                <w:sz w:val="20"/>
              </w:rPr>
              <w:t>其他</w:t>
            </w:r>
          </w:p>
        </w:tc>
        <w:tc>
          <w:tcPr>
            <w:tcW w:w="592"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4239" w:type="dxa"/>
            <w:gridSpan w:val="3"/>
          </w:tcPr>
          <w:p>
            <w:pPr>
              <w:pStyle w:val="21"/>
              <w:spacing w:before="36"/>
              <w:ind w:left="55"/>
              <w:rPr>
                <w:sz w:val="20"/>
              </w:rPr>
            </w:pPr>
            <w:r>
              <w:rPr>
                <w:sz w:val="20"/>
              </w:rPr>
              <w:t>一、本年新收政府信息公开申请数量</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4239" w:type="dxa"/>
            <w:gridSpan w:val="3"/>
          </w:tcPr>
          <w:p>
            <w:pPr>
              <w:pStyle w:val="21"/>
              <w:spacing w:before="37"/>
              <w:ind w:left="55"/>
              <w:rPr>
                <w:sz w:val="20"/>
              </w:rPr>
            </w:pPr>
            <w:r>
              <w:rPr>
                <w:sz w:val="20"/>
              </w:rPr>
              <w:t>二、上年结转政府信息公开申请数量</w:t>
            </w:r>
          </w:p>
        </w:tc>
        <w:tc>
          <w:tcPr>
            <w:tcW w:w="591" w:type="dxa"/>
          </w:tcPr>
          <w:p>
            <w:pPr>
              <w:pStyle w:val="21"/>
              <w:jc w:val="center"/>
              <w:rPr>
                <w:rFonts w:hint="default"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660" w:type="dxa"/>
            <w:vMerge w:val="restart"/>
          </w:tcPr>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spacing w:before="176" w:line="292" w:lineRule="auto"/>
              <w:ind w:left="55" w:right="37"/>
              <w:rPr>
                <w:sz w:val="20"/>
              </w:rPr>
            </w:pPr>
            <w:r>
              <w:rPr>
                <w:spacing w:val="-24"/>
                <w:sz w:val="20"/>
              </w:rPr>
              <w:t>三、本</w:t>
            </w:r>
            <w:r>
              <w:rPr>
                <w:sz w:val="20"/>
              </w:rPr>
              <w:t>年度办理结果</w:t>
            </w:r>
          </w:p>
        </w:tc>
        <w:tc>
          <w:tcPr>
            <w:tcW w:w="3579" w:type="dxa"/>
            <w:gridSpan w:val="2"/>
          </w:tcPr>
          <w:p>
            <w:pPr>
              <w:pStyle w:val="21"/>
              <w:spacing w:before="37"/>
              <w:ind w:left="55"/>
              <w:rPr>
                <w:sz w:val="20"/>
              </w:rPr>
            </w:pPr>
            <w:r>
              <w:rPr>
                <w:w w:val="65"/>
                <w:sz w:val="20"/>
              </w:rPr>
              <w:t>（</w:t>
            </w:r>
            <w:r>
              <w:rPr>
                <w:spacing w:val="58"/>
                <w:w w:val="65"/>
                <w:sz w:val="20"/>
              </w:rPr>
              <w:t xml:space="preserve"> </w:t>
            </w:r>
            <w:r>
              <w:rPr>
                <w:sz w:val="20"/>
              </w:rPr>
              <w:t>一</w:t>
            </w:r>
            <w:r>
              <w:rPr>
                <w:w w:val="65"/>
                <w:sz w:val="20"/>
              </w:rPr>
              <w:t>）</w:t>
            </w:r>
            <w:r>
              <w:rPr>
                <w:spacing w:val="58"/>
                <w:w w:val="65"/>
                <w:sz w:val="20"/>
              </w:rPr>
              <w:t xml:space="preserve"> </w:t>
            </w:r>
            <w:r>
              <w:rPr>
                <w:sz w:val="20"/>
              </w:rPr>
              <w:t>予以公开</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60" w:type="dxa"/>
            <w:vMerge w:val="continue"/>
            <w:tcBorders>
              <w:top w:val="nil"/>
            </w:tcBorders>
          </w:tcPr>
          <w:p>
            <w:pPr>
              <w:rPr>
                <w:sz w:val="2"/>
                <w:szCs w:val="2"/>
              </w:rPr>
            </w:pPr>
          </w:p>
        </w:tc>
        <w:tc>
          <w:tcPr>
            <w:tcW w:w="3579" w:type="dxa"/>
            <w:gridSpan w:val="2"/>
          </w:tcPr>
          <w:p>
            <w:pPr>
              <w:pStyle w:val="21"/>
              <w:spacing w:before="36"/>
              <w:ind w:left="55"/>
              <w:rPr>
                <w:rFonts w:hint="eastAsia" w:ascii="楷体" w:eastAsia="楷体"/>
                <w:sz w:val="20"/>
              </w:rPr>
            </w:pPr>
            <w:r>
              <w:rPr>
                <w:w w:val="65"/>
                <w:sz w:val="20"/>
              </w:rPr>
              <w:t xml:space="preserve">（ </w:t>
            </w:r>
            <w:r>
              <w:rPr>
                <w:sz w:val="20"/>
              </w:rPr>
              <w:t>二</w:t>
            </w:r>
            <w:r>
              <w:rPr>
                <w:w w:val="65"/>
                <w:sz w:val="20"/>
              </w:rPr>
              <w:t xml:space="preserve">） </w:t>
            </w:r>
            <w:r>
              <w:rPr>
                <w:sz w:val="20"/>
              </w:rPr>
              <w:t>部分公开</w:t>
            </w:r>
            <w:r>
              <w:rPr>
                <w:rFonts w:hint="eastAsia" w:ascii="楷体" w:eastAsia="楷体"/>
                <w:sz w:val="20"/>
              </w:rPr>
              <w:t>（区分处理的，只计这</w:t>
            </w:r>
          </w:p>
          <w:p>
            <w:pPr>
              <w:pStyle w:val="21"/>
              <w:spacing w:before="56"/>
              <w:ind w:left="55"/>
              <w:rPr>
                <w:rFonts w:hint="eastAsia" w:ascii="楷体" w:eastAsia="楷体"/>
                <w:sz w:val="20"/>
              </w:rPr>
            </w:pPr>
            <w:r>
              <w:rPr>
                <w:rFonts w:hint="eastAsia" w:ascii="楷体" w:eastAsia="楷体"/>
                <w:sz w:val="20"/>
              </w:rPr>
              <w:t>一情形，不计其他情形）</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restart"/>
          </w:tcPr>
          <w:p>
            <w:pPr>
              <w:pStyle w:val="21"/>
              <w:rPr>
                <w:rFonts w:ascii="黑体"/>
                <w:sz w:val="20"/>
              </w:rPr>
            </w:pPr>
          </w:p>
          <w:p>
            <w:pPr>
              <w:pStyle w:val="21"/>
              <w:rPr>
                <w:rFonts w:ascii="黑体"/>
                <w:sz w:val="20"/>
              </w:rPr>
            </w:pPr>
          </w:p>
          <w:p>
            <w:pPr>
              <w:pStyle w:val="21"/>
              <w:rPr>
                <w:rFonts w:ascii="黑体"/>
                <w:sz w:val="20"/>
              </w:rPr>
            </w:pPr>
          </w:p>
          <w:p>
            <w:pPr>
              <w:pStyle w:val="21"/>
              <w:spacing w:before="8"/>
              <w:rPr>
                <w:rFonts w:ascii="黑体"/>
                <w:sz w:val="14"/>
              </w:rPr>
            </w:pPr>
          </w:p>
          <w:p>
            <w:pPr>
              <w:pStyle w:val="21"/>
              <w:spacing w:line="292" w:lineRule="auto"/>
              <w:ind w:left="55" w:right="132"/>
              <w:rPr>
                <w:sz w:val="20"/>
              </w:rPr>
            </w:pPr>
            <w:r>
              <w:rPr>
                <w:w w:val="65"/>
                <w:sz w:val="20"/>
              </w:rPr>
              <w:t xml:space="preserve">（ </w:t>
            </w:r>
            <w:r>
              <w:rPr>
                <w:sz w:val="20"/>
              </w:rPr>
              <w:t>三</w:t>
            </w:r>
            <w:r>
              <w:rPr>
                <w:w w:val="65"/>
                <w:sz w:val="20"/>
              </w:rPr>
              <w:t xml:space="preserve">） </w:t>
            </w:r>
            <w:r>
              <w:rPr>
                <w:sz w:val="20"/>
              </w:rPr>
              <w:t>不予公开</w:t>
            </w:r>
          </w:p>
        </w:tc>
        <w:tc>
          <w:tcPr>
            <w:tcW w:w="2769" w:type="dxa"/>
          </w:tcPr>
          <w:p>
            <w:pPr>
              <w:pStyle w:val="21"/>
              <w:spacing w:before="27"/>
              <w:ind w:left="56"/>
              <w:rPr>
                <w:sz w:val="20"/>
              </w:rPr>
            </w:pPr>
            <w:r>
              <w:rPr>
                <w:sz w:val="20"/>
              </w:rPr>
              <w:t>1.属于国家秘密</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8"/>
              <w:ind w:left="56"/>
              <w:rPr>
                <w:sz w:val="20"/>
              </w:rPr>
            </w:pPr>
            <w:r>
              <w:rPr>
                <w:sz w:val="20"/>
              </w:rPr>
              <w:t>2.其他法律行政法规禁止公开</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6"/>
              <w:ind w:left="56"/>
              <w:rPr>
                <w:sz w:val="20"/>
              </w:rPr>
            </w:pPr>
            <w:r>
              <w:rPr>
                <w:sz w:val="20"/>
              </w:rPr>
              <w:t>3.危及“三安全一稳定”</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7"/>
              <w:ind w:left="56"/>
              <w:rPr>
                <w:sz w:val="20"/>
              </w:rPr>
            </w:pPr>
            <w:r>
              <w:rPr>
                <w:sz w:val="20"/>
              </w:rPr>
              <w:t>4.保护第三方合法权益</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8"/>
              <w:ind w:left="56"/>
              <w:rPr>
                <w:sz w:val="20"/>
              </w:rPr>
            </w:pPr>
            <w:r>
              <w:rPr>
                <w:sz w:val="20"/>
              </w:rPr>
              <w:t>5.属于三类内部事务信息</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6"/>
              <w:ind w:left="56"/>
              <w:rPr>
                <w:sz w:val="20"/>
              </w:rPr>
            </w:pPr>
            <w:r>
              <w:rPr>
                <w:sz w:val="20"/>
              </w:rPr>
              <w:t>6.属于四类过程性信息</w:t>
            </w:r>
          </w:p>
        </w:tc>
        <w:tc>
          <w:tcPr>
            <w:tcW w:w="591" w:type="dxa"/>
          </w:tcPr>
          <w:p>
            <w:pPr>
              <w:pStyle w:val="21"/>
              <w:jc w:val="center"/>
              <w:rPr>
                <w:rFonts w:hint="default"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7"/>
              <w:ind w:left="56"/>
              <w:rPr>
                <w:sz w:val="20"/>
              </w:rPr>
            </w:pPr>
            <w:r>
              <w:rPr>
                <w:sz w:val="20"/>
              </w:rPr>
              <w:t>7.属于行政执法案卷</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8"/>
              <w:ind w:left="56"/>
              <w:rPr>
                <w:sz w:val="20"/>
              </w:rPr>
            </w:pPr>
            <w:r>
              <w:rPr>
                <w:sz w:val="20"/>
              </w:rPr>
              <w:t>8.属于行政查询事项</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restart"/>
          </w:tcPr>
          <w:p>
            <w:pPr>
              <w:pStyle w:val="21"/>
              <w:spacing w:before="77" w:line="292" w:lineRule="auto"/>
              <w:ind w:left="55" w:right="132"/>
              <w:rPr>
                <w:sz w:val="20"/>
              </w:rPr>
            </w:pPr>
            <w:r>
              <w:rPr>
                <w:w w:val="65"/>
                <w:sz w:val="20"/>
              </w:rPr>
              <w:t xml:space="preserve">（ </w:t>
            </w:r>
            <w:r>
              <w:rPr>
                <w:sz w:val="20"/>
              </w:rPr>
              <w:t>四</w:t>
            </w:r>
            <w:r>
              <w:rPr>
                <w:w w:val="65"/>
                <w:sz w:val="20"/>
              </w:rPr>
              <w:t xml:space="preserve">） </w:t>
            </w:r>
            <w:r>
              <w:rPr>
                <w:sz w:val="20"/>
              </w:rPr>
              <w:t>无法提供</w:t>
            </w:r>
          </w:p>
        </w:tc>
        <w:tc>
          <w:tcPr>
            <w:tcW w:w="2769" w:type="dxa"/>
          </w:tcPr>
          <w:p>
            <w:pPr>
              <w:pStyle w:val="21"/>
              <w:spacing w:before="26"/>
              <w:ind w:left="56"/>
              <w:rPr>
                <w:sz w:val="20"/>
              </w:rPr>
            </w:pPr>
            <w:r>
              <w:rPr>
                <w:sz w:val="20"/>
              </w:rPr>
              <w:t>1.本机关不掌握相关政府信息</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7"/>
              <w:ind w:left="56"/>
              <w:rPr>
                <w:sz w:val="20"/>
              </w:rPr>
            </w:pPr>
            <w:r>
              <w:rPr>
                <w:sz w:val="20"/>
              </w:rPr>
              <w:t>2.没有现成信息需要另行制作</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8"/>
              <w:ind w:left="56"/>
              <w:rPr>
                <w:sz w:val="20"/>
              </w:rPr>
            </w:pPr>
            <w:r>
              <w:rPr>
                <w:sz w:val="20"/>
              </w:rPr>
              <w:t>3.补正后申请内容仍不明确</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restart"/>
          </w:tcPr>
          <w:p>
            <w:pPr>
              <w:pStyle w:val="21"/>
              <w:rPr>
                <w:rFonts w:ascii="黑体"/>
                <w:sz w:val="20"/>
              </w:rPr>
            </w:pPr>
          </w:p>
          <w:p>
            <w:pPr>
              <w:pStyle w:val="21"/>
              <w:rPr>
                <w:rFonts w:ascii="黑体"/>
                <w:sz w:val="20"/>
              </w:rPr>
            </w:pPr>
          </w:p>
          <w:p>
            <w:pPr>
              <w:pStyle w:val="21"/>
              <w:spacing w:before="150" w:line="292" w:lineRule="auto"/>
              <w:ind w:left="55" w:right="132"/>
              <w:rPr>
                <w:sz w:val="20"/>
              </w:rPr>
            </w:pPr>
            <w:r>
              <w:rPr>
                <w:w w:val="65"/>
                <w:sz w:val="20"/>
              </w:rPr>
              <w:t xml:space="preserve">（ </w:t>
            </w:r>
            <w:r>
              <w:rPr>
                <w:sz w:val="20"/>
              </w:rPr>
              <w:t>五</w:t>
            </w:r>
            <w:r>
              <w:rPr>
                <w:w w:val="65"/>
                <w:sz w:val="20"/>
              </w:rPr>
              <w:t xml:space="preserve">） </w:t>
            </w:r>
            <w:r>
              <w:rPr>
                <w:sz w:val="20"/>
              </w:rPr>
              <w:t>不予处理</w:t>
            </w:r>
          </w:p>
        </w:tc>
        <w:tc>
          <w:tcPr>
            <w:tcW w:w="2769" w:type="dxa"/>
          </w:tcPr>
          <w:p>
            <w:pPr>
              <w:pStyle w:val="21"/>
              <w:spacing w:before="26"/>
              <w:ind w:left="56"/>
              <w:rPr>
                <w:sz w:val="20"/>
              </w:rPr>
            </w:pPr>
            <w:r>
              <w:rPr>
                <w:sz w:val="20"/>
              </w:rPr>
              <w:t>1.信访举报投诉类申请</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7"/>
              <w:ind w:left="56"/>
              <w:rPr>
                <w:sz w:val="20"/>
              </w:rPr>
            </w:pPr>
            <w:r>
              <w:rPr>
                <w:sz w:val="20"/>
              </w:rPr>
              <w:t>2.重复申请</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8"/>
              <w:ind w:left="56"/>
              <w:rPr>
                <w:sz w:val="20"/>
              </w:rPr>
            </w:pPr>
            <w:r>
              <w:rPr>
                <w:sz w:val="20"/>
              </w:rPr>
              <w:t>3.要求提供公开出版物</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26"/>
              <w:ind w:left="56"/>
              <w:rPr>
                <w:sz w:val="20"/>
              </w:rPr>
            </w:pPr>
            <w:r>
              <w:rPr>
                <w:sz w:val="20"/>
              </w:rPr>
              <w:t>4.无正当理由大量反复申请</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113" w:line="292" w:lineRule="auto"/>
              <w:ind w:left="56" w:right="33"/>
              <w:rPr>
                <w:sz w:val="20"/>
              </w:rPr>
            </w:pPr>
            <w:r>
              <w:rPr>
                <w:sz w:val="20"/>
              </w:rPr>
              <w:t>5.要求行政机关确认或重新出具已获取信息</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5" w:hRule="atLeast"/>
        </w:trPr>
        <w:tc>
          <w:tcPr>
            <w:tcW w:w="660" w:type="dxa"/>
            <w:vMerge w:val="continue"/>
            <w:tcBorders>
              <w:top w:val="nil"/>
            </w:tcBorders>
          </w:tcPr>
          <w:p>
            <w:pPr>
              <w:rPr>
                <w:sz w:val="2"/>
                <w:szCs w:val="2"/>
              </w:rPr>
            </w:pPr>
          </w:p>
        </w:tc>
        <w:tc>
          <w:tcPr>
            <w:tcW w:w="810" w:type="dxa"/>
            <w:vMerge w:val="restart"/>
          </w:tcPr>
          <w:p>
            <w:pPr>
              <w:pStyle w:val="21"/>
              <w:rPr>
                <w:rFonts w:ascii="黑体"/>
                <w:sz w:val="20"/>
              </w:rPr>
            </w:pPr>
          </w:p>
          <w:p>
            <w:pPr>
              <w:pStyle w:val="21"/>
              <w:rPr>
                <w:rFonts w:ascii="黑体"/>
                <w:sz w:val="20"/>
              </w:rPr>
            </w:pPr>
          </w:p>
          <w:p>
            <w:pPr>
              <w:pStyle w:val="21"/>
              <w:spacing w:before="9"/>
              <w:rPr>
                <w:rFonts w:ascii="黑体"/>
                <w:sz w:val="14"/>
              </w:rPr>
            </w:pPr>
          </w:p>
          <w:p>
            <w:pPr>
              <w:pStyle w:val="21"/>
              <w:spacing w:line="292" w:lineRule="auto"/>
              <w:ind w:left="55" w:right="132"/>
              <w:rPr>
                <w:sz w:val="20"/>
              </w:rPr>
            </w:pPr>
            <w:r>
              <w:rPr>
                <w:w w:val="65"/>
                <w:sz w:val="20"/>
              </w:rPr>
              <w:t xml:space="preserve">（ </w:t>
            </w:r>
            <w:r>
              <w:rPr>
                <w:sz w:val="20"/>
              </w:rPr>
              <w:t>六</w:t>
            </w:r>
            <w:r>
              <w:rPr>
                <w:w w:val="65"/>
                <w:sz w:val="20"/>
              </w:rPr>
              <w:t xml:space="preserve">） </w:t>
            </w:r>
            <w:r>
              <w:rPr>
                <w:sz w:val="20"/>
              </w:rPr>
              <w:t>其他处理</w:t>
            </w:r>
          </w:p>
        </w:tc>
        <w:tc>
          <w:tcPr>
            <w:tcW w:w="2769" w:type="dxa"/>
          </w:tcPr>
          <w:p>
            <w:pPr>
              <w:pStyle w:val="21"/>
              <w:spacing w:before="36" w:line="292" w:lineRule="auto"/>
              <w:ind w:left="56" w:right="33"/>
              <w:rPr>
                <w:sz w:val="20"/>
              </w:rPr>
            </w:pPr>
            <w:r>
              <w:rPr>
                <w:sz w:val="20"/>
              </w:rPr>
              <w:t>1.申请人无正当理由逾期不补正、行政机关不再处理其政府</w:t>
            </w:r>
          </w:p>
          <w:p>
            <w:pPr>
              <w:pStyle w:val="21"/>
              <w:spacing w:line="255" w:lineRule="exact"/>
              <w:ind w:left="56"/>
              <w:rPr>
                <w:sz w:val="20"/>
              </w:rPr>
            </w:pPr>
            <w:r>
              <w:rPr>
                <w:sz w:val="20"/>
              </w:rPr>
              <w:t>信息公开申请</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35"/>
              <w:ind w:left="56"/>
              <w:rPr>
                <w:sz w:val="20"/>
              </w:rPr>
            </w:pPr>
            <w:r>
              <w:rPr>
                <w:sz w:val="20"/>
              </w:rPr>
              <w:t>2.申请人逾期未按收费通知要</w:t>
            </w:r>
          </w:p>
          <w:p>
            <w:pPr>
              <w:pStyle w:val="21"/>
              <w:spacing w:before="2" w:line="310" w:lineRule="atLeast"/>
              <w:ind w:left="56" w:right="33"/>
              <w:rPr>
                <w:sz w:val="20"/>
              </w:rPr>
            </w:pPr>
            <w:r>
              <w:rPr>
                <w:sz w:val="20"/>
              </w:rPr>
              <w:t>求缴纳费用、行政机关不再处理其政府信息公开申请</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810" w:type="dxa"/>
            <w:vMerge w:val="continue"/>
            <w:tcBorders>
              <w:top w:val="nil"/>
            </w:tcBorders>
          </w:tcPr>
          <w:p>
            <w:pPr>
              <w:rPr>
                <w:sz w:val="2"/>
                <w:szCs w:val="2"/>
              </w:rPr>
            </w:pPr>
          </w:p>
        </w:tc>
        <w:tc>
          <w:tcPr>
            <w:tcW w:w="2769" w:type="dxa"/>
          </w:tcPr>
          <w:p>
            <w:pPr>
              <w:pStyle w:val="21"/>
              <w:spacing w:before="37"/>
              <w:ind w:left="56"/>
              <w:rPr>
                <w:sz w:val="20"/>
              </w:rPr>
            </w:pPr>
            <w:r>
              <w:rPr>
                <w:sz w:val="20"/>
              </w:rPr>
              <w:t>3.其他</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60" w:type="dxa"/>
            <w:vMerge w:val="continue"/>
            <w:tcBorders>
              <w:top w:val="nil"/>
            </w:tcBorders>
          </w:tcPr>
          <w:p>
            <w:pPr>
              <w:rPr>
                <w:sz w:val="2"/>
                <w:szCs w:val="2"/>
              </w:rPr>
            </w:pPr>
          </w:p>
        </w:tc>
        <w:tc>
          <w:tcPr>
            <w:tcW w:w="3579" w:type="dxa"/>
            <w:gridSpan w:val="2"/>
          </w:tcPr>
          <w:p>
            <w:pPr>
              <w:pStyle w:val="21"/>
              <w:spacing w:before="38"/>
              <w:ind w:left="55"/>
              <w:rPr>
                <w:sz w:val="20"/>
              </w:rPr>
            </w:pPr>
            <w:r>
              <w:rPr>
                <w:w w:val="65"/>
                <w:sz w:val="20"/>
              </w:rPr>
              <w:t>（</w:t>
            </w:r>
            <w:r>
              <w:rPr>
                <w:spacing w:val="60"/>
                <w:w w:val="65"/>
                <w:sz w:val="20"/>
              </w:rPr>
              <w:t xml:space="preserve"> </w:t>
            </w:r>
            <w:r>
              <w:rPr>
                <w:w w:val="95"/>
                <w:sz w:val="20"/>
              </w:rPr>
              <w:t>七</w:t>
            </w:r>
            <w:r>
              <w:rPr>
                <w:w w:val="65"/>
                <w:sz w:val="20"/>
              </w:rPr>
              <w:t>）</w:t>
            </w:r>
            <w:r>
              <w:rPr>
                <w:spacing w:val="61"/>
                <w:w w:val="65"/>
                <w:sz w:val="20"/>
              </w:rPr>
              <w:t xml:space="preserve"> </w:t>
            </w:r>
            <w:r>
              <w:rPr>
                <w:w w:val="95"/>
                <w:sz w:val="20"/>
              </w:rPr>
              <w:t>总计</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4239" w:type="dxa"/>
            <w:gridSpan w:val="3"/>
          </w:tcPr>
          <w:p>
            <w:pPr>
              <w:pStyle w:val="21"/>
              <w:spacing w:before="46"/>
              <w:ind w:left="55"/>
              <w:rPr>
                <w:sz w:val="20"/>
              </w:rPr>
            </w:pPr>
            <w:r>
              <w:rPr>
                <w:sz w:val="20"/>
              </w:rPr>
              <w:t>四、结转下年度继续办理</w:t>
            </w:r>
          </w:p>
        </w:tc>
        <w:tc>
          <w:tcPr>
            <w:tcW w:w="591" w:type="dxa"/>
          </w:tcPr>
          <w:p>
            <w:pPr>
              <w:pStyle w:val="21"/>
              <w:jc w:val="center"/>
              <w:rPr>
                <w:rFonts w:hint="eastAsia" w:ascii="Times New Roman" w:eastAsia="宋体"/>
                <w:sz w:val="20"/>
                <w:lang w:val="en-US" w:eastAsia="zh-CN"/>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1" w:type="dxa"/>
            <w:vAlign w:val="top"/>
          </w:tcPr>
          <w:p>
            <w:pPr>
              <w:pStyle w:val="21"/>
              <w:jc w:val="center"/>
              <w:rPr>
                <w:rFonts w:ascii="Times New Roman"/>
                <w:sz w:val="20"/>
              </w:rPr>
            </w:pPr>
            <w:r>
              <w:rPr>
                <w:rFonts w:hint="eastAsia" w:ascii="Times New Roman"/>
                <w:sz w:val="20"/>
                <w:lang w:val="en-US" w:eastAsia="zh-CN"/>
              </w:rPr>
              <w:t>0</w:t>
            </w:r>
          </w:p>
        </w:tc>
        <w:tc>
          <w:tcPr>
            <w:tcW w:w="593" w:type="dxa"/>
            <w:vAlign w:val="top"/>
          </w:tcPr>
          <w:p>
            <w:pPr>
              <w:pStyle w:val="21"/>
              <w:jc w:val="center"/>
              <w:rPr>
                <w:rFonts w:ascii="Times New Roman"/>
                <w:sz w:val="20"/>
              </w:rPr>
            </w:pPr>
            <w:r>
              <w:rPr>
                <w:rFonts w:hint="eastAsia" w:ascii="Times New Roman"/>
                <w:sz w:val="20"/>
                <w:lang w:val="en-US" w:eastAsia="zh-CN"/>
              </w:rPr>
              <w:t>0</w:t>
            </w:r>
          </w:p>
        </w:tc>
        <w:tc>
          <w:tcPr>
            <w:tcW w:w="592" w:type="dxa"/>
            <w:vAlign w:val="top"/>
          </w:tcPr>
          <w:p>
            <w:pPr>
              <w:pStyle w:val="21"/>
              <w:jc w:val="center"/>
              <w:rPr>
                <w:rFonts w:ascii="Times New Roman"/>
                <w:sz w:val="20"/>
              </w:rPr>
            </w:pPr>
            <w:r>
              <w:rPr>
                <w:rFonts w:hint="eastAsia" w:ascii="Times New Roman"/>
                <w:sz w:val="20"/>
                <w:lang w:val="en-US" w:eastAsia="zh-CN"/>
              </w:rPr>
              <w:t>0</w:t>
            </w:r>
          </w:p>
        </w:tc>
      </w:tr>
    </w:tbl>
    <w:p>
      <w:pPr>
        <w:pStyle w:val="3"/>
        <w:spacing w:before="143"/>
        <w:ind w:left="0" w:leftChars="0" w:firstLine="0" w:firstLineChars="0"/>
        <w:rPr>
          <w:rFonts w:hint="eastAsia" w:ascii="黑体" w:eastAsia="黑体"/>
          <w:color w:val="343434"/>
        </w:rPr>
      </w:pPr>
    </w:p>
    <w:p>
      <w:pPr>
        <w:pStyle w:val="3"/>
        <w:numPr>
          <w:ilvl w:val="0"/>
          <w:numId w:val="1"/>
        </w:numPr>
        <w:spacing w:before="143"/>
        <w:ind w:left="580"/>
        <w:rPr>
          <w:rFonts w:hint="eastAsia" w:ascii="黑体" w:eastAsia="黑体"/>
          <w:color w:val="343434"/>
        </w:rPr>
      </w:pPr>
      <w:r>
        <w:rPr>
          <w:rFonts w:hint="eastAsia" w:ascii="黑体" w:eastAsia="黑体"/>
          <w:color w:val="343434"/>
        </w:rPr>
        <w:t>政府信息公开行政复议、行政诉讼情况</w:t>
      </w:r>
    </w:p>
    <w:tbl>
      <w:tblPr>
        <w:tblStyle w:val="6"/>
        <w:tblW w:w="0" w:type="auto"/>
        <w:tblInd w:w="4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2596" w:type="dxa"/>
            <w:gridSpan w:val="5"/>
          </w:tcPr>
          <w:p>
            <w:pPr>
              <w:pStyle w:val="21"/>
              <w:spacing w:before="37"/>
              <w:ind w:left="878" w:right="858"/>
              <w:jc w:val="center"/>
              <w:rPr>
                <w:sz w:val="20"/>
              </w:rPr>
            </w:pPr>
            <w:r>
              <w:rPr>
                <w:sz w:val="20"/>
              </w:rPr>
              <w:t>行政复议</w:t>
            </w:r>
          </w:p>
        </w:tc>
        <w:tc>
          <w:tcPr>
            <w:tcW w:w="5203" w:type="dxa"/>
            <w:gridSpan w:val="10"/>
          </w:tcPr>
          <w:p>
            <w:pPr>
              <w:pStyle w:val="21"/>
              <w:spacing w:before="37"/>
              <w:ind w:left="2179" w:right="2163"/>
              <w:jc w:val="center"/>
              <w:rPr>
                <w:sz w:val="20"/>
              </w:rPr>
            </w:pPr>
            <w:r>
              <w:rPr>
                <w:sz w:val="20"/>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519" w:type="dxa"/>
            <w:vMerge w:val="restart"/>
          </w:tcPr>
          <w:p>
            <w:pPr>
              <w:pStyle w:val="21"/>
              <w:spacing w:before="11"/>
              <w:rPr>
                <w:rFonts w:ascii="黑体"/>
                <w:sz w:val="15"/>
              </w:rPr>
            </w:pPr>
          </w:p>
          <w:p>
            <w:pPr>
              <w:pStyle w:val="21"/>
              <w:spacing w:line="292" w:lineRule="auto"/>
              <w:ind w:left="159" w:right="138"/>
              <w:jc w:val="both"/>
              <w:rPr>
                <w:sz w:val="20"/>
              </w:rPr>
            </w:pPr>
            <w:r>
              <w:rPr>
                <w:sz w:val="20"/>
              </w:rPr>
              <w:t>结果维持</w:t>
            </w:r>
          </w:p>
        </w:tc>
        <w:tc>
          <w:tcPr>
            <w:tcW w:w="519" w:type="dxa"/>
            <w:vMerge w:val="restart"/>
          </w:tcPr>
          <w:p>
            <w:pPr>
              <w:pStyle w:val="21"/>
              <w:spacing w:before="11"/>
              <w:rPr>
                <w:rFonts w:ascii="黑体"/>
                <w:sz w:val="15"/>
              </w:rPr>
            </w:pPr>
          </w:p>
          <w:p>
            <w:pPr>
              <w:pStyle w:val="21"/>
              <w:spacing w:line="292" w:lineRule="auto"/>
              <w:ind w:left="158" w:right="139"/>
              <w:jc w:val="both"/>
              <w:rPr>
                <w:sz w:val="20"/>
              </w:rPr>
            </w:pPr>
            <w:r>
              <w:rPr>
                <w:sz w:val="20"/>
              </w:rPr>
              <w:t>结果纠正</w:t>
            </w:r>
          </w:p>
        </w:tc>
        <w:tc>
          <w:tcPr>
            <w:tcW w:w="519" w:type="dxa"/>
            <w:vMerge w:val="restart"/>
          </w:tcPr>
          <w:p>
            <w:pPr>
              <w:pStyle w:val="21"/>
              <w:spacing w:before="11"/>
              <w:rPr>
                <w:rFonts w:ascii="黑体"/>
                <w:sz w:val="15"/>
              </w:rPr>
            </w:pPr>
          </w:p>
          <w:p>
            <w:pPr>
              <w:pStyle w:val="21"/>
              <w:spacing w:line="292" w:lineRule="auto"/>
              <w:ind w:left="158" w:right="139"/>
              <w:jc w:val="both"/>
              <w:rPr>
                <w:sz w:val="20"/>
              </w:rPr>
            </w:pPr>
            <w:r>
              <w:rPr>
                <w:sz w:val="20"/>
              </w:rPr>
              <w:t>其他结果</w:t>
            </w:r>
          </w:p>
        </w:tc>
        <w:tc>
          <w:tcPr>
            <w:tcW w:w="519" w:type="dxa"/>
            <w:vMerge w:val="restart"/>
          </w:tcPr>
          <w:p>
            <w:pPr>
              <w:pStyle w:val="21"/>
              <w:spacing w:before="11"/>
              <w:rPr>
                <w:rFonts w:ascii="黑体"/>
                <w:sz w:val="15"/>
              </w:rPr>
            </w:pPr>
          </w:p>
          <w:p>
            <w:pPr>
              <w:pStyle w:val="21"/>
              <w:spacing w:line="292" w:lineRule="auto"/>
              <w:ind w:left="157" w:right="140"/>
              <w:jc w:val="both"/>
              <w:rPr>
                <w:sz w:val="20"/>
              </w:rPr>
            </w:pPr>
            <w:r>
              <w:rPr>
                <w:sz w:val="20"/>
              </w:rPr>
              <w:t>尚未审结</w:t>
            </w:r>
          </w:p>
        </w:tc>
        <w:tc>
          <w:tcPr>
            <w:tcW w:w="520" w:type="dxa"/>
            <w:vMerge w:val="restart"/>
          </w:tcPr>
          <w:p>
            <w:pPr>
              <w:pStyle w:val="21"/>
              <w:rPr>
                <w:rFonts w:ascii="黑体"/>
                <w:sz w:val="20"/>
              </w:rPr>
            </w:pPr>
          </w:p>
          <w:p>
            <w:pPr>
              <w:pStyle w:val="21"/>
              <w:spacing w:before="2"/>
              <w:rPr>
                <w:rFonts w:ascii="黑体"/>
                <w:sz w:val="20"/>
              </w:rPr>
            </w:pPr>
          </w:p>
          <w:p>
            <w:pPr>
              <w:pStyle w:val="21"/>
              <w:spacing w:line="292" w:lineRule="auto"/>
              <w:ind w:left="159" w:right="139"/>
              <w:rPr>
                <w:sz w:val="20"/>
              </w:rPr>
            </w:pPr>
            <w:r>
              <w:rPr>
                <w:sz w:val="20"/>
              </w:rPr>
              <w:t>总计</w:t>
            </w:r>
          </w:p>
        </w:tc>
        <w:tc>
          <w:tcPr>
            <w:tcW w:w="2598" w:type="dxa"/>
            <w:gridSpan w:val="5"/>
          </w:tcPr>
          <w:p>
            <w:pPr>
              <w:pStyle w:val="21"/>
              <w:spacing w:before="35"/>
              <w:ind w:left="498"/>
              <w:rPr>
                <w:sz w:val="20"/>
              </w:rPr>
            </w:pPr>
            <w:r>
              <w:rPr>
                <w:sz w:val="20"/>
              </w:rPr>
              <w:t>未经复议直接起诉</w:t>
            </w:r>
          </w:p>
        </w:tc>
        <w:tc>
          <w:tcPr>
            <w:tcW w:w="2605" w:type="dxa"/>
            <w:gridSpan w:val="5"/>
          </w:tcPr>
          <w:p>
            <w:pPr>
              <w:pStyle w:val="21"/>
              <w:spacing w:before="35"/>
              <w:ind w:left="802"/>
              <w:rPr>
                <w:sz w:val="20"/>
              </w:rPr>
            </w:pPr>
            <w:r>
              <w:rPr>
                <w:sz w:val="20"/>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519" w:type="dxa"/>
            <w:vMerge w:val="continue"/>
            <w:tcBorders>
              <w:top w:val="nil"/>
            </w:tcBorders>
          </w:tcPr>
          <w:p>
            <w:pPr>
              <w:rPr>
                <w:sz w:val="2"/>
                <w:szCs w:val="2"/>
              </w:rPr>
            </w:pPr>
          </w:p>
        </w:tc>
        <w:tc>
          <w:tcPr>
            <w:tcW w:w="519" w:type="dxa"/>
            <w:vMerge w:val="continue"/>
            <w:tcBorders>
              <w:top w:val="nil"/>
            </w:tcBorders>
          </w:tcPr>
          <w:p>
            <w:pPr>
              <w:rPr>
                <w:sz w:val="2"/>
                <w:szCs w:val="2"/>
              </w:rPr>
            </w:pPr>
          </w:p>
        </w:tc>
        <w:tc>
          <w:tcPr>
            <w:tcW w:w="519" w:type="dxa"/>
            <w:vMerge w:val="continue"/>
            <w:tcBorders>
              <w:top w:val="nil"/>
            </w:tcBorders>
          </w:tcPr>
          <w:p>
            <w:pPr>
              <w:rPr>
                <w:sz w:val="2"/>
                <w:szCs w:val="2"/>
              </w:rPr>
            </w:pPr>
          </w:p>
        </w:tc>
        <w:tc>
          <w:tcPr>
            <w:tcW w:w="519" w:type="dxa"/>
            <w:vMerge w:val="continue"/>
            <w:tcBorders>
              <w:top w:val="nil"/>
            </w:tcBorders>
          </w:tcPr>
          <w:p>
            <w:pPr>
              <w:rPr>
                <w:sz w:val="2"/>
                <w:szCs w:val="2"/>
              </w:rPr>
            </w:pPr>
          </w:p>
        </w:tc>
        <w:tc>
          <w:tcPr>
            <w:tcW w:w="520" w:type="dxa"/>
            <w:vMerge w:val="continue"/>
            <w:tcBorders>
              <w:top w:val="nil"/>
            </w:tcBorders>
          </w:tcPr>
          <w:p>
            <w:pPr>
              <w:rPr>
                <w:sz w:val="2"/>
                <w:szCs w:val="2"/>
              </w:rPr>
            </w:pPr>
          </w:p>
        </w:tc>
        <w:tc>
          <w:tcPr>
            <w:tcW w:w="519" w:type="dxa"/>
          </w:tcPr>
          <w:p>
            <w:pPr>
              <w:pStyle w:val="21"/>
              <w:spacing w:before="28" w:line="292" w:lineRule="auto"/>
              <w:ind w:left="157" w:right="140"/>
              <w:jc w:val="both"/>
              <w:rPr>
                <w:sz w:val="20"/>
              </w:rPr>
            </w:pPr>
            <w:r>
              <w:rPr>
                <w:sz w:val="20"/>
              </w:rPr>
              <w:t>结果维</w:t>
            </w:r>
          </w:p>
          <w:p>
            <w:pPr>
              <w:pStyle w:val="21"/>
              <w:spacing w:line="254" w:lineRule="exact"/>
              <w:ind w:left="157"/>
              <w:rPr>
                <w:sz w:val="20"/>
              </w:rPr>
            </w:pPr>
            <w:r>
              <w:rPr>
                <w:w w:val="99"/>
                <w:sz w:val="20"/>
              </w:rPr>
              <w:t>持</w:t>
            </w:r>
          </w:p>
        </w:tc>
        <w:tc>
          <w:tcPr>
            <w:tcW w:w="519" w:type="dxa"/>
          </w:tcPr>
          <w:p>
            <w:pPr>
              <w:pStyle w:val="21"/>
              <w:spacing w:before="28" w:line="292" w:lineRule="auto"/>
              <w:ind w:left="159" w:right="138"/>
              <w:jc w:val="both"/>
              <w:rPr>
                <w:sz w:val="20"/>
              </w:rPr>
            </w:pPr>
            <w:r>
              <w:rPr>
                <w:sz w:val="20"/>
              </w:rPr>
              <w:t>结果纠</w:t>
            </w:r>
          </w:p>
          <w:p>
            <w:pPr>
              <w:pStyle w:val="21"/>
              <w:spacing w:line="254" w:lineRule="exact"/>
              <w:ind w:left="159"/>
              <w:rPr>
                <w:sz w:val="20"/>
              </w:rPr>
            </w:pPr>
            <w:r>
              <w:rPr>
                <w:w w:val="99"/>
                <w:sz w:val="20"/>
              </w:rPr>
              <w:t>正</w:t>
            </w:r>
          </w:p>
        </w:tc>
        <w:tc>
          <w:tcPr>
            <w:tcW w:w="520" w:type="dxa"/>
          </w:tcPr>
          <w:p>
            <w:pPr>
              <w:pStyle w:val="21"/>
              <w:spacing w:before="28" w:line="292" w:lineRule="auto"/>
              <w:ind w:left="158" w:right="140"/>
              <w:jc w:val="both"/>
              <w:rPr>
                <w:sz w:val="20"/>
              </w:rPr>
            </w:pPr>
            <w:r>
              <w:rPr>
                <w:sz w:val="20"/>
              </w:rPr>
              <w:t>其他结</w:t>
            </w:r>
          </w:p>
          <w:p>
            <w:pPr>
              <w:pStyle w:val="21"/>
              <w:spacing w:line="254" w:lineRule="exact"/>
              <w:ind w:left="158"/>
              <w:rPr>
                <w:sz w:val="20"/>
              </w:rPr>
            </w:pPr>
            <w:r>
              <w:rPr>
                <w:w w:val="99"/>
                <w:sz w:val="20"/>
              </w:rPr>
              <w:t>果</w:t>
            </w:r>
          </w:p>
        </w:tc>
        <w:tc>
          <w:tcPr>
            <w:tcW w:w="520" w:type="dxa"/>
          </w:tcPr>
          <w:p>
            <w:pPr>
              <w:pStyle w:val="21"/>
              <w:spacing w:before="28" w:line="292" w:lineRule="auto"/>
              <w:ind w:left="159" w:right="139"/>
              <w:jc w:val="both"/>
              <w:rPr>
                <w:sz w:val="20"/>
              </w:rPr>
            </w:pPr>
            <w:r>
              <w:rPr>
                <w:sz w:val="20"/>
              </w:rPr>
              <w:t>尚未审</w:t>
            </w:r>
          </w:p>
          <w:p>
            <w:pPr>
              <w:pStyle w:val="21"/>
              <w:spacing w:line="254" w:lineRule="exact"/>
              <w:ind w:left="159"/>
              <w:rPr>
                <w:sz w:val="20"/>
              </w:rPr>
            </w:pPr>
            <w:r>
              <w:rPr>
                <w:w w:val="99"/>
                <w:sz w:val="20"/>
              </w:rPr>
              <w:t>结</w:t>
            </w:r>
          </w:p>
        </w:tc>
        <w:tc>
          <w:tcPr>
            <w:tcW w:w="520" w:type="dxa"/>
          </w:tcPr>
          <w:p>
            <w:pPr>
              <w:pStyle w:val="21"/>
              <w:spacing w:before="7"/>
              <w:rPr>
                <w:rFonts w:ascii="黑体"/>
                <w:sz w:val="26"/>
              </w:rPr>
            </w:pPr>
          </w:p>
          <w:p>
            <w:pPr>
              <w:pStyle w:val="21"/>
              <w:spacing w:line="292" w:lineRule="auto"/>
              <w:ind w:left="160" w:right="138"/>
              <w:rPr>
                <w:sz w:val="20"/>
              </w:rPr>
            </w:pPr>
            <w:r>
              <w:rPr>
                <w:sz w:val="20"/>
              </w:rPr>
              <w:t>总计</w:t>
            </w:r>
          </w:p>
        </w:tc>
        <w:tc>
          <w:tcPr>
            <w:tcW w:w="520" w:type="dxa"/>
          </w:tcPr>
          <w:p>
            <w:pPr>
              <w:pStyle w:val="21"/>
              <w:spacing w:before="28" w:line="292" w:lineRule="auto"/>
              <w:ind w:left="158" w:right="140"/>
              <w:jc w:val="both"/>
              <w:rPr>
                <w:sz w:val="20"/>
              </w:rPr>
            </w:pPr>
            <w:r>
              <w:rPr>
                <w:sz w:val="20"/>
              </w:rPr>
              <w:t>结果维</w:t>
            </w:r>
          </w:p>
          <w:p>
            <w:pPr>
              <w:pStyle w:val="21"/>
              <w:spacing w:line="254" w:lineRule="exact"/>
              <w:ind w:left="158"/>
              <w:rPr>
                <w:sz w:val="20"/>
              </w:rPr>
            </w:pPr>
            <w:r>
              <w:rPr>
                <w:w w:val="99"/>
                <w:sz w:val="20"/>
              </w:rPr>
              <w:t>持</w:t>
            </w:r>
          </w:p>
        </w:tc>
        <w:tc>
          <w:tcPr>
            <w:tcW w:w="520" w:type="dxa"/>
          </w:tcPr>
          <w:p>
            <w:pPr>
              <w:pStyle w:val="21"/>
              <w:spacing w:before="28" w:line="292" w:lineRule="auto"/>
              <w:ind w:left="159" w:right="139"/>
              <w:jc w:val="both"/>
              <w:rPr>
                <w:sz w:val="20"/>
              </w:rPr>
            </w:pPr>
            <w:r>
              <w:rPr>
                <w:sz w:val="20"/>
              </w:rPr>
              <w:t>结果纠</w:t>
            </w:r>
          </w:p>
          <w:p>
            <w:pPr>
              <w:pStyle w:val="21"/>
              <w:spacing w:line="254" w:lineRule="exact"/>
              <w:ind w:left="159"/>
              <w:rPr>
                <w:sz w:val="20"/>
              </w:rPr>
            </w:pPr>
            <w:r>
              <w:rPr>
                <w:w w:val="99"/>
                <w:sz w:val="20"/>
              </w:rPr>
              <w:t>正</w:t>
            </w:r>
          </w:p>
        </w:tc>
        <w:tc>
          <w:tcPr>
            <w:tcW w:w="520" w:type="dxa"/>
          </w:tcPr>
          <w:p>
            <w:pPr>
              <w:pStyle w:val="21"/>
              <w:spacing w:before="28" w:line="292" w:lineRule="auto"/>
              <w:ind w:left="160" w:right="138"/>
              <w:jc w:val="both"/>
              <w:rPr>
                <w:sz w:val="20"/>
              </w:rPr>
            </w:pPr>
            <w:r>
              <w:rPr>
                <w:sz w:val="20"/>
              </w:rPr>
              <w:t>其他结</w:t>
            </w:r>
          </w:p>
          <w:p>
            <w:pPr>
              <w:pStyle w:val="21"/>
              <w:spacing w:line="254" w:lineRule="exact"/>
              <w:ind w:left="160"/>
              <w:rPr>
                <w:sz w:val="20"/>
              </w:rPr>
            </w:pPr>
            <w:r>
              <w:rPr>
                <w:w w:val="99"/>
                <w:sz w:val="20"/>
              </w:rPr>
              <w:t>果</w:t>
            </w:r>
          </w:p>
        </w:tc>
        <w:tc>
          <w:tcPr>
            <w:tcW w:w="520" w:type="dxa"/>
          </w:tcPr>
          <w:p>
            <w:pPr>
              <w:pStyle w:val="21"/>
              <w:spacing w:before="28" w:line="292" w:lineRule="auto"/>
              <w:ind w:left="158" w:right="140"/>
              <w:jc w:val="both"/>
              <w:rPr>
                <w:sz w:val="20"/>
              </w:rPr>
            </w:pPr>
            <w:r>
              <w:rPr>
                <w:sz w:val="20"/>
              </w:rPr>
              <w:t>尚未审</w:t>
            </w:r>
          </w:p>
          <w:p>
            <w:pPr>
              <w:pStyle w:val="21"/>
              <w:spacing w:line="254" w:lineRule="exact"/>
              <w:ind w:left="158"/>
              <w:rPr>
                <w:sz w:val="20"/>
              </w:rPr>
            </w:pPr>
            <w:r>
              <w:rPr>
                <w:w w:val="99"/>
                <w:sz w:val="20"/>
              </w:rPr>
              <w:t>结</w:t>
            </w:r>
          </w:p>
        </w:tc>
        <w:tc>
          <w:tcPr>
            <w:tcW w:w="525" w:type="dxa"/>
          </w:tcPr>
          <w:p>
            <w:pPr>
              <w:pStyle w:val="21"/>
              <w:spacing w:before="7"/>
              <w:rPr>
                <w:rFonts w:ascii="黑体"/>
                <w:sz w:val="26"/>
              </w:rPr>
            </w:pPr>
          </w:p>
          <w:p>
            <w:pPr>
              <w:pStyle w:val="21"/>
              <w:spacing w:line="292" w:lineRule="auto"/>
              <w:ind w:left="162" w:right="141"/>
              <w:rPr>
                <w:sz w:val="20"/>
              </w:rPr>
            </w:pPr>
            <w:r>
              <w:rPr>
                <w:sz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519"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19"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19"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19"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19"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19"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0"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c>
          <w:tcPr>
            <w:tcW w:w="525" w:type="dxa"/>
          </w:tcPr>
          <w:p>
            <w:pPr>
              <w:pStyle w:val="21"/>
              <w:jc w:val="center"/>
              <w:rPr>
                <w:rFonts w:hint="eastAsia" w:ascii="Times New Roman" w:eastAsia="宋体"/>
                <w:sz w:val="21"/>
                <w:szCs w:val="21"/>
                <w:lang w:val="en-US" w:eastAsia="zh-CN"/>
              </w:rPr>
            </w:pPr>
            <w:r>
              <w:rPr>
                <w:rFonts w:hint="eastAsia" w:ascii="Times New Roman"/>
                <w:sz w:val="21"/>
                <w:szCs w:val="21"/>
                <w:lang w:val="en-US" w:eastAsia="zh-CN"/>
              </w:rPr>
              <w:t>0</w:t>
            </w:r>
          </w:p>
        </w:tc>
      </w:tr>
    </w:tbl>
    <w:p>
      <w:pPr>
        <w:pStyle w:val="2"/>
        <w:rPr>
          <w:rFonts w:ascii="宋体" w:cs="宋体"/>
          <w:b/>
          <w:bCs/>
          <w:kern w:val="0"/>
          <w:sz w:val="24"/>
        </w:rPr>
      </w:pPr>
    </w:p>
    <w:p>
      <w:pPr>
        <w:widowControl/>
        <w:spacing w:line="578" w:lineRule="exact"/>
        <w:ind w:firstLine="640" w:firstLineChars="200"/>
        <w:jc w:val="both"/>
        <w:rPr>
          <w:rFonts w:ascii="黑体" w:hAnsi="黑体" w:eastAsia="黑体" w:cs="宋体"/>
          <w:kern w:val="0"/>
          <w:sz w:val="32"/>
          <w:szCs w:val="32"/>
        </w:rPr>
      </w:pPr>
      <w:r>
        <w:rPr>
          <w:rFonts w:hint="eastAsia" w:ascii="黑体" w:hAnsi="黑体" w:eastAsia="黑体" w:cs="宋体"/>
          <w:bCs/>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年，市供销社政务公开工作在市政务公开办的指导下虽取得了一些成绩，但仍存在一些问题和不足，主要表现在：</w:t>
      </w:r>
      <w:r>
        <w:rPr>
          <w:rFonts w:hint="eastAsia" w:ascii="仿宋" w:hAnsi="仿宋" w:eastAsia="仿宋" w:cs="仿宋"/>
          <w:color w:val="auto"/>
          <w:sz w:val="32"/>
          <w:szCs w:val="32"/>
        </w:rPr>
        <w:t>部分信息公开不够及时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公开内容不够丰富</w:t>
      </w:r>
      <w:r>
        <w:rPr>
          <w:rFonts w:hint="eastAsia" w:ascii="仿宋" w:hAnsi="仿宋" w:eastAsia="仿宋" w:cs="仿宋"/>
          <w:color w:val="auto"/>
          <w:sz w:val="32"/>
          <w:szCs w:val="32"/>
          <w:lang w:eastAsia="zh-CN"/>
        </w:rPr>
        <w:t>、政策解读形式不够多样化、</w:t>
      </w:r>
      <w:r>
        <w:rPr>
          <w:rFonts w:hint="eastAsia" w:ascii="仿宋" w:hAnsi="仿宋" w:eastAsia="仿宋" w:cs="仿宋"/>
          <w:color w:val="auto"/>
          <w:sz w:val="32"/>
          <w:szCs w:val="32"/>
        </w:rPr>
        <w:t>公开渠道有待拓宽等问题。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color w:val="auto"/>
          <w:sz w:val="32"/>
          <w:szCs w:val="32"/>
          <w:lang w:eastAsia="zh-CN"/>
        </w:rPr>
        <w:t>下一步，市社</w:t>
      </w:r>
      <w:r>
        <w:rPr>
          <w:rFonts w:hint="eastAsia" w:ascii="仿宋" w:hAnsi="仿宋" w:eastAsia="仿宋" w:cs="仿宋"/>
          <w:color w:val="auto"/>
          <w:sz w:val="32"/>
          <w:szCs w:val="32"/>
        </w:rPr>
        <w:t>将继续贯彻落实《中华人民共和国政府信息公开条例》和市政务公开办的各项工作要求，突出抓好规章制度健全、工作作风转变、业务流程规范等建设，及时回应社会关切问题，扎实做好政策文件发布，提高政策解读质量。把群众最关心、最想了解</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工作事项作为政府信息公开的主要内容，真正发挥信息公开平台作用，以信息公开促进依法办事，提高工作透明度、办事效率、管理和服务水平，全面提高各项工作水平。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bCs/>
          <w:color w:val="auto"/>
          <w:kern w:val="0"/>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 w:hAnsi="仿宋" w:eastAsia="仿宋" w:cs="仿宋"/>
          <w:i w:val="0"/>
          <w:caps w:val="0"/>
          <w:color w:val="auto"/>
          <w:spacing w:val="0"/>
          <w:kern w:val="2"/>
          <w:sz w:val="32"/>
          <w:szCs w:val="32"/>
          <w:shd w:val="clear" w:fill="FFFFFF"/>
          <w:lang w:val="en-US" w:eastAsia="zh-CN" w:bidi="ar-SA"/>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0B1A5"/>
    <w:multiLevelType w:val="singleLevel"/>
    <w:tmpl w:val="C960B1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000000"/>
    <w:rsid w:val="01B14BE4"/>
    <w:rsid w:val="030425E6"/>
    <w:rsid w:val="05D32FF0"/>
    <w:rsid w:val="06C477B5"/>
    <w:rsid w:val="09016D28"/>
    <w:rsid w:val="0BCD3B32"/>
    <w:rsid w:val="0D635013"/>
    <w:rsid w:val="163C22DD"/>
    <w:rsid w:val="163C6D3C"/>
    <w:rsid w:val="17810A74"/>
    <w:rsid w:val="194F6D87"/>
    <w:rsid w:val="1CE87722"/>
    <w:rsid w:val="1D835195"/>
    <w:rsid w:val="210F4004"/>
    <w:rsid w:val="226A69DF"/>
    <w:rsid w:val="23335EB9"/>
    <w:rsid w:val="281E0BB1"/>
    <w:rsid w:val="284C65DA"/>
    <w:rsid w:val="29C43D06"/>
    <w:rsid w:val="2A1E69DF"/>
    <w:rsid w:val="2A3F0DA9"/>
    <w:rsid w:val="2A5561C7"/>
    <w:rsid w:val="2C3749A3"/>
    <w:rsid w:val="2C587F14"/>
    <w:rsid w:val="2F8D32D3"/>
    <w:rsid w:val="30B57C45"/>
    <w:rsid w:val="30D7090C"/>
    <w:rsid w:val="338673F1"/>
    <w:rsid w:val="34F4638E"/>
    <w:rsid w:val="36077BF9"/>
    <w:rsid w:val="383815A1"/>
    <w:rsid w:val="39A90F0A"/>
    <w:rsid w:val="3C664263"/>
    <w:rsid w:val="3CB54CC6"/>
    <w:rsid w:val="3DF015B6"/>
    <w:rsid w:val="3EE95A44"/>
    <w:rsid w:val="412416A1"/>
    <w:rsid w:val="4AAC5126"/>
    <w:rsid w:val="4DDE1EAC"/>
    <w:rsid w:val="4DDF1EF5"/>
    <w:rsid w:val="543431BA"/>
    <w:rsid w:val="56DA6AC6"/>
    <w:rsid w:val="58E02A25"/>
    <w:rsid w:val="60B114BE"/>
    <w:rsid w:val="61B94475"/>
    <w:rsid w:val="63AE3C76"/>
    <w:rsid w:val="66F059BB"/>
    <w:rsid w:val="6A3224DB"/>
    <w:rsid w:val="6D690A28"/>
    <w:rsid w:val="6DEF52F3"/>
    <w:rsid w:val="75173F51"/>
    <w:rsid w:val="765F7271"/>
    <w:rsid w:val="768F3238"/>
    <w:rsid w:val="7A243C4B"/>
    <w:rsid w:val="7B0F5B1E"/>
    <w:rsid w:val="7D830119"/>
    <w:rsid w:val="7F08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Body Text"/>
    <w:basedOn w:val="1"/>
    <w:autoRedefine/>
    <w:qFormat/>
    <w:uiPriority w:val="1"/>
    <w:pPr>
      <w:ind w:left="160"/>
    </w:pPr>
    <w:rPr>
      <w:rFonts w:ascii="仿宋_GB2312" w:hAnsi="仿宋_GB2312" w:eastAsia="仿宋_GB2312" w:cs="仿宋_GB2312"/>
      <w:sz w:val="32"/>
      <w:szCs w:val="32"/>
      <w:lang w:val="zh-CN" w:eastAsia="zh-CN" w:bidi="zh-CN"/>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0" w:beforeAutospacing="0" w:after="0" w:afterAutospacing="0"/>
      <w:ind w:left="0" w:right="0"/>
      <w:jc w:val="left"/>
    </w:pPr>
    <w:rPr>
      <w:kern w:val="0"/>
      <w:sz w:val="24"/>
      <w:lang w:val="en-US" w:eastAsia="zh-CN" w:bidi="ar"/>
    </w:rPr>
  </w:style>
  <w:style w:type="character" w:styleId="8">
    <w:name w:val="Strong"/>
    <w:basedOn w:val="7"/>
    <w:autoRedefine/>
    <w:qFormat/>
    <w:uiPriority w:val="0"/>
    <w:rPr>
      <w:b/>
      <w:vanish/>
    </w:rPr>
  </w:style>
  <w:style w:type="character" w:styleId="9">
    <w:name w:val="FollowedHyperlink"/>
    <w:basedOn w:val="7"/>
    <w:autoRedefine/>
    <w:qFormat/>
    <w:uiPriority w:val="0"/>
    <w:rPr>
      <w:color w:val="333333"/>
      <w:u w:val="none"/>
    </w:rPr>
  </w:style>
  <w:style w:type="character" w:styleId="10">
    <w:name w:val="Emphasis"/>
    <w:basedOn w:val="7"/>
    <w:autoRedefine/>
    <w:qFormat/>
    <w:uiPriority w:val="0"/>
    <w:rPr>
      <w:i/>
    </w:rPr>
  </w:style>
  <w:style w:type="character" w:styleId="11">
    <w:name w:val="HTML Definition"/>
    <w:basedOn w:val="7"/>
    <w:autoRedefine/>
    <w:qFormat/>
    <w:uiPriority w:val="0"/>
    <w:rPr>
      <w:i/>
      <w:iCs/>
    </w:rPr>
  </w:style>
  <w:style w:type="character" w:styleId="12">
    <w:name w:val="HTML Acronym"/>
    <w:basedOn w:val="7"/>
    <w:autoRedefine/>
    <w:qFormat/>
    <w:uiPriority w:val="0"/>
  </w:style>
  <w:style w:type="character" w:styleId="13">
    <w:name w:val="Hyperlink"/>
    <w:basedOn w:val="7"/>
    <w:autoRedefine/>
    <w:qFormat/>
    <w:uiPriority w:val="0"/>
    <w:rPr>
      <w:color w:val="333333"/>
      <w:u w:val="none"/>
    </w:rPr>
  </w:style>
  <w:style w:type="character" w:styleId="14">
    <w:name w:val="HTML Code"/>
    <w:basedOn w:val="7"/>
    <w:autoRedefine/>
    <w:qFormat/>
    <w:uiPriority w:val="0"/>
    <w:rPr>
      <w:rFonts w:hint="default" w:ascii="monospace" w:hAnsi="monospace" w:eastAsia="monospace" w:cs="monospace"/>
      <w:sz w:val="21"/>
      <w:szCs w:val="21"/>
    </w:rPr>
  </w:style>
  <w:style w:type="character" w:styleId="15">
    <w:name w:val="HTML Keyboard"/>
    <w:basedOn w:val="7"/>
    <w:autoRedefine/>
    <w:qFormat/>
    <w:uiPriority w:val="0"/>
    <w:rPr>
      <w:rFonts w:ascii="monospace" w:hAnsi="monospace" w:eastAsia="monospace" w:cs="monospace"/>
      <w:sz w:val="21"/>
      <w:szCs w:val="21"/>
    </w:rPr>
  </w:style>
  <w:style w:type="character" w:styleId="16">
    <w:name w:val="HTML Sample"/>
    <w:basedOn w:val="7"/>
    <w:autoRedefine/>
    <w:qFormat/>
    <w:uiPriority w:val="0"/>
    <w:rPr>
      <w:rFonts w:hint="default" w:ascii="monospace" w:hAnsi="monospace" w:eastAsia="monospace" w:cs="monospace"/>
      <w:sz w:val="21"/>
      <w:szCs w:val="21"/>
    </w:rPr>
  </w:style>
  <w:style w:type="character" w:customStyle="1" w:styleId="17">
    <w:name w:val="button"/>
    <w:basedOn w:val="7"/>
    <w:autoRedefine/>
    <w:qFormat/>
    <w:uiPriority w:val="0"/>
  </w:style>
  <w:style w:type="character" w:customStyle="1" w:styleId="18">
    <w:name w:val="p0"/>
    <w:basedOn w:val="7"/>
    <w:autoRedefine/>
    <w:qFormat/>
    <w:uiPriority w:val="0"/>
  </w:style>
  <w:style w:type="character" w:customStyle="1" w:styleId="19">
    <w:name w:val="tmpztreemove_arrow"/>
    <w:basedOn w:val="7"/>
    <w:autoRedefine/>
    <w:qFormat/>
    <w:uiPriority w:val="0"/>
  </w:style>
  <w:style w:type="character" w:customStyle="1" w:styleId="20">
    <w:name w:val="button1"/>
    <w:basedOn w:val="7"/>
    <w:autoRedefine/>
    <w:qFormat/>
    <w:uiPriority w:val="0"/>
  </w:style>
  <w:style w:type="paragraph" w:customStyle="1" w:styleId="2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2797</Words>
  <Characters>2889</Characters>
  <Lines>0</Lines>
  <Paragraphs>0</Paragraphs>
  <TotalTime>55</TotalTime>
  <ScaleCrop>false</ScaleCrop>
  <LinksUpToDate>false</LinksUpToDate>
  <CharactersWithSpaces>2914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2021-01-26T02:42:00Z</dcterms:created>
  <dc:creator>Administrator</dc:creator>
  <cp:lastModifiedBy>市供销社</cp:lastModifiedBy>
  <dcterms:modified xsi:type="dcterms:W3CDTF">2024-02-01T01:05:35Z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713411644_btnclosed</vt:lpwstr>
  </property>
  <property fmtid="{D5CDD505-2E9C-101B-9397-08002B2CF9AE}" pid="4" name="ICV">
    <vt:lpwstr>E6B00B5C01C148E89FFF12420EDD5841</vt:lpwstr>
  </property>
</Properties>
</file>